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DEAD" w14:textId="7665AAF1" w:rsidR="00856DD1" w:rsidRDefault="00856DD1" w:rsidP="00856DD1">
      <w:pPr>
        <w:pStyle w:val="aa"/>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#100</w:t>
      </w:r>
      <w:r w:rsidR="00E13537">
        <w:rPr>
          <w:rFonts w:eastAsia="宋体" w:cs="Arial"/>
          <w:bCs/>
          <w:sz w:val="22"/>
          <w:lang w:eastAsia="zh-CN"/>
        </w:rPr>
        <w:t>bis</w:t>
      </w:r>
      <w:r>
        <w:rPr>
          <w:rFonts w:cs="Arial"/>
          <w:bCs/>
          <w:sz w:val="22"/>
        </w:rPr>
        <w:tab/>
      </w:r>
      <w:r>
        <w:rPr>
          <w:rFonts w:cs="Arial"/>
          <w:bCs/>
          <w:sz w:val="22"/>
        </w:rPr>
        <w:tab/>
        <w:t>R1-200</w:t>
      </w:r>
      <w:r w:rsidR="00D56C05">
        <w:rPr>
          <w:rFonts w:cs="Arial"/>
          <w:bCs/>
          <w:sz w:val="22"/>
        </w:rPr>
        <w:t>1650</w:t>
      </w:r>
    </w:p>
    <w:p w14:paraId="30DAF462" w14:textId="417115C7" w:rsidR="00856DD1" w:rsidRPr="00AA7383" w:rsidRDefault="00856DD1" w:rsidP="00856DD1">
      <w:pPr>
        <w:pStyle w:val="aa"/>
        <w:jc w:val="both"/>
        <w:rPr>
          <w:rFonts w:cs="Arial"/>
          <w:bCs/>
          <w:sz w:val="22"/>
        </w:rPr>
      </w:pPr>
      <w:r w:rsidRPr="00856DD1">
        <w:rPr>
          <w:rFonts w:cs="Arial"/>
          <w:bCs/>
          <w:sz w:val="22"/>
        </w:rPr>
        <w:t xml:space="preserve">e-Meeting, </w:t>
      </w:r>
      <w:r w:rsidR="00E13537">
        <w:rPr>
          <w:rFonts w:cs="Arial"/>
          <w:bCs/>
          <w:sz w:val="22"/>
        </w:rPr>
        <w:t>April</w:t>
      </w:r>
      <w:r w:rsidR="00E13537" w:rsidRPr="00856DD1">
        <w:rPr>
          <w:rFonts w:cs="Arial"/>
          <w:bCs/>
          <w:sz w:val="22"/>
        </w:rPr>
        <w:t xml:space="preserve"> </w:t>
      </w:r>
      <w:r w:rsidR="00E13537">
        <w:rPr>
          <w:rFonts w:cs="Arial"/>
          <w:bCs/>
          <w:sz w:val="22"/>
        </w:rPr>
        <w:t>20</w:t>
      </w:r>
      <w:r w:rsidR="00E13537" w:rsidRPr="00856DD1">
        <w:rPr>
          <w:rFonts w:cs="Arial"/>
          <w:bCs/>
          <w:sz w:val="22"/>
        </w:rPr>
        <w:t xml:space="preserve">th – </w:t>
      </w:r>
      <w:r w:rsidR="00E13537">
        <w:rPr>
          <w:rFonts w:cs="Arial"/>
          <w:bCs/>
          <w:sz w:val="22"/>
        </w:rPr>
        <w:t>30</w:t>
      </w:r>
      <w:r w:rsidR="00E13537" w:rsidRPr="00856DD1">
        <w:rPr>
          <w:rFonts w:cs="Arial"/>
          <w:bCs/>
          <w:sz w:val="22"/>
        </w:rPr>
        <w:t>th, 2020</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24A62D36"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w:t>
      </w:r>
      <w:r w:rsidR="00E43EE9">
        <w:rPr>
          <w:rFonts w:cs="Arial"/>
          <w:sz w:val="22"/>
          <w:szCs w:val="22"/>
        </w:rPr>
        <w:t>physical DL channel design in unlicensed spectrum</w:t>
      </w:r>
    </w:p>
    <w:p w14:paraId="7CDA35B9" w14:textId="42DC0FFA"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E43EE9">
        <w:rPr>
          <w:rFonts w:eastAsia="宋体" w:cs="Arial"/>
          <w:sz w:val="22"/>
          <w:szCs w:val="22"/>
          <w:lang w:eastAsia="zh-CN"/>
        </w:rPr>
        <w:t>1.2</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057C09B" w14:textId="7C0E7DB3" w:rsidR="00856DD1" w:rsidRPr="002E0104" w:rsidRDefault="00856DD1" w:rsidP="002E0104">
      <w:pPr>
        <w:pStyle w:val="a0"/>
        <w:spacing w:before="120"/>
        <w:rPr>
          <w:rFonts w:ascii="Times New Roman" w:eastAsia="宋体" w:hAnsi="Times New Roman"/>
          <w:lang w:eastAsia="zh-CN"/>
        </w:rPr>
      </w:pPr>
      <w:r w:rsidRPr="002E0104">
        <w:rPr>
          <w:rFonts w:ascii="Times New Roman" w:eastAsia="宋体" w:hAnsi="Times New Roman" w:hint="eastAsia"/>
          <w:lang w:eastAsia="zh-CN"/>
        </w:rPr>
        <w:t>T</w:t>
      </w:r>
      <w:r w:rsidRPr="002E0104">
        <w:rPr>
          <w:rFonts w:ascii="Times New Roman" w:eastAsia="宋体" w:hAnsi="Times New Roman"/>
          <w:lang w:eastAsia="zh-CN"/>
        </w:rPr>
        <w:t xml:space="preserve">his contribution discusses remaining aspects on </w:t>
      </w:r>
      <w:r w:rsidR="009F273F">
        <w:rPr>
          <w:rFonts w:ascii="Times New Roman" w:eastAsia="宋体" w:hAnsi="Times New Roman"/>
          <w:lang w:eastAsia="zh-CN"/>
        </w:rPr>
        <w:t>physical DL channel design</w:t>
      </w:r>
      <w:r w:rsidRPr="002E0104">
        <w:rPr>
          <w:rFonts w:ascii="Times New Roman" w:eastAsia="宋体" w:hAnsi="Times New Roman"/>
          <w:lang w:eastAsia="zh-CN"/>
        </w:rPr>
        <w:t xml:space="preserve"> for NRU.</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B6525E3" w14:textId="11FC674F"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30A1B186" w14:textId="43C6F18A" w:rsidR="00375316" w:rsidRDefault="002F3E6C" w:rsidP="00856DD1">
      <w:pPr>
        <w:pStyle w:val="20"/>
        <w:rPr>
          <w:rFonts w:eastAsia="宋体"/>
          <w:b w:val="0"/>
          <w:sz w:val="30"/>
          <w:szCs w:val="30"/>
        </w:rPr>
      </w:pPr>
      <w:bookmarkStart w:id="2" w:name="_Ref521492551"/>
      <w:r>
        <w:rPr>
          <w:rFonts w:eastAsia="宋体"/>
          <w:b w:val="0"/>
          <w:sz w:val="30"/>
          <w:szCs w:val="30"/>
        </w:rPr>
        <w:t>Search space group switching</w:t>
      </w:r>
    </w:p>
    <w:p w14:paraId="422D053D" w14:textId="7514F672" w:rsidR="00D26FBB" w:rsidRPr="00D26FBB" w:rsidRDefault="00D26FBB" w:rsidP="00D26FBB">
      <w:pPr>
        <w:pStyle w:val="a0"/>
        <w:rPr>
          <w:rFonts w:eastAsiaTheme="minorEastAsia"/>
          <w:lang w:eastAsia="zh-CN"/>
        </w:rPr>
      </w:pPr>
      <w:r w:rsidRPr="00654E05">
        <w:rPr>
          <w:rFonts w:eastAsiaTheme="minorEastAsia"/>
          <w:noProof/>
          <w:lang w:eastAsia="zh-CN"/>
        </w:rPr>
        <mc:AlternateContent>
          <mc:Choice Requires="wps">
            <w:drawing>
              <wp:anchor distT="45720" distB="45720" distL="114300" distR="114300" simplePos="0" relativeHeight="251656704" behindDoc="0" locked="0" layoutInCell="1" allowOverlap="1" wp14:anchorId="2F164165" wp14:editId="449D5D33">
                <wp:simplePos x="0" y="0"/>
                <wp:positionH relativeFrom="margin">
                  <wp:posOffset>0</wp:posOffset>
                </wp:positionH>
                <wp:positionV relativeFrom="paragraph">
                  <wp:posOffset>286385</wp:posOffset>
                </wp:positionV>
                <wp:extent cx="5708015" cy="1404620"/>
                <wp:effectExtent l="0" t="0" r="26035" b="2286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6031C3E5" w14:textId="77777777" w:rsidR="002E0104" w:rsidRPr="00E12201" w:rsidRDefault="002E0104" w:rsidP="002E0104">
                            <w:pPr>
                              <w:rPr>
                                <w:sz w:val="16"/>
                                <w:lang w:eastAsia="x-none"/>
                              </w:rPr>
                            </w:pPr>
                            <w:r w:rsidRPr="00E12201">
                              <w:rPr>
                                <w:sz w:val="16"/>
                                <w:highlight w:val="green"/>
                                <w:lang w:eastAsia="x-none"/>
                              </w:rPr>
                              <w:t>Agreement:</w:t>
                            </w:r>
                          </w:p>
                          <w:p w14:paraId="70351429" w14:textId="77777777" w:rsidR="002E0104" w:rsidRPr="00E12201" w:rsidRDefault="002E0104" w:rsidP="002E0104">
                            <w:pPr>
                              <w:rPr>
                                <w:rFonts w:ascii="Times New Roman" w:hAnsi="Times New Roman"/>
                                <w:sz w:val="16"/>
                                <w:szCs w:val="22"/>
                                <w:lang w:eastAsia="en-GB"/>
                              </w:rPr>
                            </w:pPr>
                            <w:r w:rsidRPr="00E12201">
                              <w:rPr>
                                <w:sz w:val="16"/>
                              </w:rPr>
                              <w:t>When a UE is configured with two groups of search space sets for PDCCH</w:t>
                            </w:r>
                          </w:p>
                          <w:p w14:paraId="3F536ABF" w14:textId="77777777" w:rsidR="002E0104" w:rsidRPr="00E12201" w:rsidRDefault="002E0104" w:rsidP="00816D68">
                            <w:pPr>
                              <w:numPr>
                                <w:ilvl w:val="0"/>
                                <w:numId w:val="10"/>
                              </w:numPr>
                              <w:autoSpaceDN w:val="0"/>
                              <w:rPr>
                                <w:sz w:val="16"/>
                              </w:rPr>
                            </w:pPr>
                            <w:r w:rsidRPr="00E12201">
                              <w:rPr>
                                <w:sz w:val="16"/>
                              </w:rPr>
                              <w:t>The presence of a monitoring group flag in DCI format 2_0 is configurable</w:t>
                            </w:r>
                          </w:p>
                          <w:p w14:paraId="7E32F2FB" w14:textId="77777777" w:rsidR="002E0104" w:rsidRPr="00E12201" w:rsidRDefault="002E0104" w:rsidP="00816D68">
                            <w:pPr>
                              <w:numPr>
                                <w:ilvl w:val="0"/>
                                <w:numId w:val="10"/>
                              </w:numPr>
                              <w:autoSpaceDN w:val="0"/>
                              <w:rPr>
                                <w:sz w:val="16"/>
                              </w:rPr>
                            </w:pPr>
                            <w:r w:rsidRPr="00E12201">
                              <w:rPr>
                                <w:sz w:val="16"/>
                              </w:rPr>
                              <w:t>A timer is configured as a number of slots, which is decremented at the end of each slot.</w:t>
                            </w:r>
                          </w:p>
                          <w:p w14:paraId="03A07FF9" w14:textId="77777777" w:rsidR="002E0104" w:rsidRPr="00E12201" w:rsidRDefault="002E0104" w:rsidP="00816D68">
                            <w:pPr>
                              <w:numPr>
                                <w:ilvl w:val="0"/>
                                <w:numId w:val="10"/>
                              </w:numPr>
                              <w:autoSpaceDN w:val="0"/>
                              <w:rPr>
                                <w:sz w:val="16"/>
                              </w:rPr>
                            </w:pPr>
                            <w:r w:rsidRPr="00E12201">
                              <w:rPr>
                                <w:sz w:val="16"/>
                              </w:rPr>
                              <w:t>If the monitoring group flag is present in DCI format 2_0 (</w:t>
                            </w:r>
                            <w:r w:rsidRPr="00E12201">
                              <w:rPr>
                                <w:sz w:val="16"/>
                                <w:u w:val="single"/>
                              </w:rPr>
                              <w:t>Note: Explicit switching between Group1 and Group2 and vice versa, plus implicit switching from Group2 to Group1</w:t>
                            </w:r>
                            <w:r w:rsidRPr="00E12201">
                              <w:rPr>
                                <w:sz w:val="16"/>
                              </w:rPr>
                              <w:t xml:space="preserve">) </w:t>
                            </w:r>
                          </w:p>
                          <w:p w14:paraId="3F5A1F71" w14:textId="77777777" w:rsidR="002E0104" w:rsidRPr="00E12201" w:rsidRDefault="002E0104" w:rsidP="00816D68">
                            <w:pPr>
                              <w:numPr>
                                <w:ilvl w:val="1"/>
                                <w:numId w:val="10"/>
                              </w:numPr>
                              <w:autoSpaceDN w:val="0"/>
                              <w:rPr>
                                <w:sz w:val="16"/>
                              </w:rPr>
                            </w:pPr>
                            <w:r w:rsidRPr="00E12201">
                              <w:rPr>
                                <w:sz w:val="16"/>
                              </w:rPr>
                              <w:t>If the flag = 1</w:t>
                            </w:r>
                          </w:p>
                          <w:p w14:paraId="7F74FD6D" w14:textId="77777777" w:rsidR="002E0104" w:rsidRPr="00E12201" w:rsidRDefault="002E0104" w:rsidP="00816D68">
                            <w:pPr>
                              <w:numPr>
                                <w:ilvl w:val="2"/>
                                <w:numId w:val="10"/>
                              </w:numPr>
                              <w:autoSpaceDN w:val="0"/>
                              <w:rPr>
                                <w:sz w:val="16"/>
                              </w:rPr>
                            </w:pPr>
                            <w:r w:rsidRPr="00E12201">
                              <w:rPr>
                                <w:sz w:val="16"/>
                              </w:rPr>
                              <w:t>Switch to (or keep) monitoring Group2 at the next applicable slot boundary with respect to the detected DCI format 2_0</w:t>
                            </w:r>
                          </w:p>
                          <w:p w14:paraId="462B3476" w14:textId="77777777" w:rsidR="002E0104" w:rsidRPr="00E12201" w:rsidRDefault="002E0104" w:rsidP="00816D68">
                            <w:pPr>
                              <w:numPr>
                                <w:ilvl w:val="2"/>
                                <w:numId w:val="10"/>
                              </w:numPr>
                              <w:autoSpaceDN w:val="0"/>
                              <w:rPr>
                                <w:sz w:val="16"/>
                              </w:rPr>
                            </w:pPr>
                            <w:r w:rsidRPr="00E12201">
                              <w:rPr>
                                <w:sz w:val="16"/>
                              </w:rPr>
                              <w:t>The UE starts (or restarts) the configurable timer</w:t>
                            </w:r>
                          </w:p>
                          <w:p w14:paraId="02886212" w14:textId="77777777" w:rsidR="002E0104" w:rsidRPr="00E12201" w:rsidRDefault="002E0104" w:rsidP="00816D68">
                            <w:pPr>
                              <w:numPr>
                                <w:ilvl w:val="1"/>
                                <w:numId w:val="10"/>
                              </w:numPr>
                              <w:autoSpaceDN w:val="0"/>
                              <w:rPr>
                                <w:sz w:val="16"/>
                              </w:rPr>
                            </w:pPr>
                            <w:r w:rsidRPr="00E12201">
                              <w:rPr>
                                <w:sz w:val="16"/>
                              </w:rPr>
                              <w:t>If the flag = 0</w:t>
                            </w:r>
                          </w:p>
                          <w:p w14:paraId="4526FFCA" w14:textId="77777777" w:rsidR="002E0104" w:rsidRPr="00E12201" w:rsidRDefault="002E0104" w:rsidP="00816D68">
                            <w:pPr>
                              <w:numPr>
                                <w:ilvl w:val="2"/>
                                <w:numId w:val="10"/>
                              </w:numPr>
                              <w:autoSpaceDN w:val="0"/>
                              <w:rPr>
                                <w:sz w:val="16"/>
                              </w:rPr>
                            </w:pPr>
                            <w:r w:rsidRPr="00E12201">
                              <w:rPr>
                                <w:sz w:val="16"/>
                              </w:rPr>
                              <w:t>Switch to (or keep) monitoring Group1 at the next applicable slot boundary with respect to the detected DCI format 2_0</w:t>
                            </w:r>
                          </w:p>
                          <w:p w14:paraId="042FCB85"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P1 symbols after</w:t>
                            </w:r>
                          </w:p>
                          <w:p w14:paraId="389F5D59" w14:textId="77777777" w:rsidR="002E0104" w:rsidRPr="00E12201" w:rsidRDefault="002E0104" w:rsidP="00816D68">
                            <w:pPr>
                              <w:numPr>
                                <w:ilvl w:val="2"/>
                                <w:numId w:val="10"/>
                              </w:numPr>
                              <w:autoSpaceDN w:val="0"/>
                              <w:rPr>
                                <w:sz w:val="16"/>
                                <w:lang w:eastAsia="en-GB"/>
                              </w:rPr>
                            </w:pPr>
                            <w:r w:rsidRPr="00E12201">
                              <w:rPr>
                                <w:sz w:val="16"/>
                              </w:rPr>
                              <w:t>the end of the slot in which the timer expires, or</w:t>
                            </w:r>
                          </w:p>
                          <w:p w14:paraId="54CCE35E" w14:textId="77777777" w:rsidR="002E0104" w:rsidRPr="00E12201" w:rsidRDefault="002E0104" w:rsidP="00816D68">
                            <w:pPr>
                              <w:numPr>
                                <w:ilvl w:val="2"/>
                                <w:numId w:val="10"/>
                              </w:numPr>
                              <w:autoSpaceDN w:val="0"/>
                              <w:rPr>
                                <w:sz w:val="16"/>
                                <w:lang w:eastAsia="en-GB"/>
                              </w:rPr>
                            </w:pPr>
                            <w:r w:rsidRPr="00E12201">
                              <w:rPr>
                                <w:sz w:val="16"/>
                              </w:rPr>
                              <w:t>an indicated COT duration is exceeded, whichever comes first</w:t>
                            </w:r>
                          </w:p>
                          <w:p w14:paraId="533B644A" w14:textId="77777777" w:rsidR="002E0104" w:rsidRPr="00E12201" w:rsidRDefault="002E0104" w:rsidP="00816D68">
                            <w:pPr>
                              <w:numPr>
                                <w:ilvl w:val="0"/>
                                <w:numId w:val="10"/>
                              </w:numPr>
                              <w:autoSpaceDN w:val="0"/>
                              <w:rPr>
                                <w:sz w:val="16"/>
                              </w:rPr>
                            </w:pPr>
                            <w:r w:rsidRPr="00E12201">
                              <w:rPr>
                                <w:sz w:val="16"/>
                              </w:rPr>
                              <w:t>If the monitoring group flag is not present in DCI format 2_0 (</w:t>
                            </w:r>
                            <w:r w:rsidRPr="00E12201">
                              <w:rPr>
                                <w:sz w:val="16"/>
                                <w:u w:val="single"/>
                              </w:rPr>
                              <w:t>Note: Implicit switching between Group1 and Group2 and vice versa</w:t>
                            </w:r>
                            <w:r w:rsidRPr="00E12201">
                              <w:rPr>
                                <w:sz w:val="16"/>
                              </w:rPr>
                              <w:t xml:space="preserve">) </w:t>
                            </w:r>
                          </w:p>
                          <w:p w14:paraId="28834E3D"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505D4E74" w14:textId="77777777" w:rsidR="002E0104" w:rsidRPr="00E12201" w:rsidRDefault="002E0104" w:rsidP="00816D68">
                            <w:pPr>
                              <w:numPr>
                                <w:ilvl w:val="2"/>
                                <w:numId w:val="10"/>
                              </w:numPr>
                              <w:autoSpaceDN w:val="0"/>
                              <w:rPr>
                                <w:sz w:val="16"/>
                              </w:rPr>
                            </w:pPr>
                            <w:r w:rsidRPr="00E12201">
                              <w:rPr>
                                <w:sz w:val="16"/>
                              </w:rPr>
                              <w:t>Switch from Group1 to Group2 at the next applicable slot boundary with respect to the detected PDCCH</w:t>
                            </w:r>
                          </w:p>
                          <w:p w14:paraId="26979F3E"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21C4E4F8"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P2 symbols after</w:t>
                            </w:r>
                          </w:p>
                          <w:p w14:paraId="1990B099" w14:textId="77777777" w:rsidR="002E0104" w:rsidRPr="00E12201" w:rsidRDefault="002E0104" w:rsidP="00816D68">
                            <w:pPr>
                              <w:numPr>
                                <w:ilvl w:val="2"/>
                                <w:numId w:val="10"/>
                              </w:numPr>
                              <w:autoSpaceDN w:val="0"/>
                              <w:rPr>
                                <w:sz w:val="16"/>
                              </w:rPr>
                            </w:pPr>
                            <w:r w:rsidRPr="00E12201">
                              <w:rPr>
                                <w:sz w:val="16"/>
                              </w:rPr>
                              <w:t>the end of the slot in which the timer expires, or</w:t>
                            </w:r>
                          </w:p>
                          <w:p w14:paraId="5ED3A164" w14:textId="77777777" w:rsidR="002E0104" w:rsidRPr="00E12201" w:rsidRDefault="002E0104" w:rsidP="00816D68">
                            <w:pPr>
                              <w:numPr>
                                <w:ilvl w:val="2"/>
                                <w:numId w:val="10"/>
                              </w:numPr>
                              <w:autoSpaceDN w:val="0"/>
                              <w:rPr>
                                <w:sz w:val="16"/>
                              </w:rPr>
                            </w:pPr>
                            <w:r w:rsidRPr="00E12201">
                              <w:rPr>
                                <w:sz w:val="16"/>
                              </w:rPr>
                              <w:t>an indicated COT duration is exceeded, whichever comes first</w:t>
                            </w:r>
                          </w:p>
                          <w:p w14:paraId="77E361ED" w14:textId="77777777" w:rsidR="002E0104" w:rsidRPr="00E12201" w:rsidRDefault="002E0104" w:rsidP="00816D68">
                            <w:pPr>
                              <w:numPr>
                                <w:ilvl w:val="0"/>
                                <w:numId w:val="10"/>
                              </w:numPr>
                              <w:autoSpaceDN w:val="0"/>
                              <w:rPr>
                                <w:sz w:val="16"/>
                              </w:rPr>
                            </w:pPr>
                            <w:r w:rsidRPr="00E12201">
                              <w:rPr>
                                <w:sz w:val="16"/>
                              </w:rPr>
                              <w:t>If the UE does not monitor for DCI format 2_0 (</w:t>
                            </w:r>
                            <w:r w:rsidRPr="00E12201">
                              <w:rPr>
                                <w:sz w:val="16"/>
                                <w:u w:val="single"/>
                              </w:rPr>
                              <w:t>Note: Implicit switching between Group1 and Group2 and vice versa</w:t>
                            </w:r>
                            <w:r w:rsidRPr="00E12201">
                              <w:rPr>
                                <w:sz w:val="16"/>
                              </w:rPr>
                              <w:t xml:space="preserve">) </w:t>
                            </w:r>
                          </w:p>
                          <w:p w14:paraId="6930B0D0"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0BFC152D" w14:textId="77777777" w:rsidR="002E0104" w:rsidRPr="00E12201" w:rsidRDefault="002E0104" w:rsidP="00816D68">
                            <w:pPr>
                              <w:numPr>
                                <w:ilvl w:val="2"/>
                                <w:numId w:val="10"/>
                              </w:numPr>
                              <w:autoSpaceDN w:val="0"/>
                              <w:rPr>
                                <w:sz w:val="16"/>
                              </w:rPr>
                            </w:pPr>
                            <w:r w:rsidRPr="00E12201">
                              <w:rPr>
                                <w:sz w:val="16"/>
                              </w:rPr>
                              <w:t xml:space="preserve">Switch from Group1 to Group2 at the next applicable slot boundary with respect to the detected PDCCH </w:t>
                            </w:r>
                          </w:p>
                          <w:p w14:paraId="60C50B41"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024DA764" w14:textId="77777777" w:rsidR="002E0104" w:rsidRPr="00E12201" w:rsidRDefault="002E0104" w:rsidP="00816D68">
                            <w:pPr>
                              <w:numPr>
                                <w:ilvl w:val="1"/>
                                <w:numId w:val="10"/>
                              </w:numPr>
                              <w:autoSpaceDN w:val="0"/>
                              <w:rPr>
                                <w:sz w:val="16"/>
                              </w:rPr>
                            </w:pPr>
                            <w:r w:rsidRPr="00E12201">
                              <w:rPr>
                                <w:sz w:val="16"/>
                              </w:rPr>
                              <w:t>The UE switches from Group2 to Group1 at the earliest slot boundary that is at least P2 symbols after the end of the slot in which the timer expires</w:t>
                            </w:r>
                          </w:p>
                          <w:p w14:paraId="781B5495" w14:textId="77777777" w:rsidR="002E0104" w:rsidRPr="00E12201" w:rsidRDefault="002E0104" w:rsidP="00816D68">
                            <w:pPr>
                              <w:numPr>
                                <w:ilvl w:val="0"/>
                                <w:numId w:val="10"/>
                              </w:numPr>
                              <w:autoSpaceDN w:val="0"/>
                              <w:rPr>
                                <w:sz w:val="16"/>
                              </w:rPr>
                            </w:pPr>
                            <w:r w:rsidRPr="00E12201">
                              <w:rPr>
                                <w:sz w:val="16"/>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4B88CD3E" w14:textId="77777777" w:rsidR="002E0104" w:rsidRPr="00E12201" w:rsidRDefault="002E0104" w:rsidP="00816D68">
                            <w:pPr>
                              <w:numPr>
                                <w:ilvl w:val="0"/>
                                <w:numId w:val="10"/>
                              </w:numPr>
                              <w:autoSpaceDN w:val="0"/>
                              <w:rPr>
                                <w:sz w:val="16"/>
                              </w:rPr>
                            </w:pPr>
                            <w:r w:rsidRPr="00E12201">
                              <w:rPr>
                                <w:sz w:val="16"/>
                              </w:rPr>
                              <w:t>Search space switching is a new UE capability</w:t>
                            </w:r>
                          </w:p>
                          <w:p w14:paraId="5A36B0B1" w14:textId="77777777" w:rsidR="002E0104" w:rsidRPr="00E12201" w:rsidRDefault="002E0104" w:rsidP="00816D68">
                            <w:pPr>
                              <w:numPr>
                                <w:ilvl w:val="1"/>
                                <w:numId w:val="10"/>
                              </w:numPr>
                              <w:autoSpaceDN w:val="0"/>
                              <w:rPr>
                                <w:sz w:val="16"/>
                              </w:rPr>
                            </w:pPr>
                            <w:r w:rsidRPr="00E12201">
                              <w:rPr>
                                <w:sz w:val="16"/>
                              </w:rPr>
                              <w:t>Processing time is fixed in the specification</w:t>
                            </w:r>
                          </w:p>
                          <w:p w14:paraId="7F256916" w14:textId="77777777" w:rsidR="002E0104" w:rsidRPr="00E12201" w:rsidRDefault="002E0104" w:rsidP="00816D68">
                            <w:pPr>
                              <w:numPr>
                                <w:ilvl w:val="0"/>
                                <w:numId w:val="10"/>
                              </w:numPr>
                              <w:autoSpaceDN w:val="0"/>
                              <w:rPr>
                                <w:sz w:val="16"/>
                              </w:rPr>
                            </w:pPr>
                            <w:r w:rsidRPr="00E12201">
                              <w:rPr>
                                <w:sz w:val="16"/>
                              </w:rPr>
                              <w:t>FFS: Whether P1 and P2 need to be different</w:t>
                            </w:r>
                          </w:p>
                          <w:p w14:paraId="3878D524" w14:textId="6EDA2FC7" w:rsidR="005C35D5" w:rsidRPr="00E12201" w:rsidRDefault="002E0104" w:rsidP="00816D68">
                            <w:pPr>
                              <w:numPr>
                                <w:ilvl w:val="0"/>
                                <w:numId w:val="10"/>
                              </w:numPr>
                              <w:autoSpaceDN w:val="0"/>
                              <w:rPr>
                                <w:sz w:val="16"/>
                              </w:rPr>
                            </w:pPr>
                            <w:r w:rsidRPr="00E12201">
                              <w:rPr>
                                <w:sz w:val="16"/>
                              </w:rPr>
                              <w:t>The groups of serving cells to which the above behavior is applicable can be configured via RRC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164165" id="_x0000_t202" coordsize="21600,21600" o:spt="202" path="m,l,21600r21600,l21600,xe">
                <v:stroke joinstyle="miter"/>
                <v:path gradientshapeok="t" o:connecttype="rect"/>
              </v:shapetype>
              <v:shape id="文本框 2" o:spid="_x0000_s1026" type="#_x0000_t202" style="position:absolute;left:0;text-align:left;margin-left:0;margin-top:22.55pt;width:449.45pt;height:110.6pt;z-index:2516567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">
                <v:textbox style="mso-fit-shape-to-text:t">
                  <w:txbxContent>
                    <w:p w14:paraId="6031C3E5" w14:textId="77777777" w:rsidR="002E0104" w:rsidRPr="00E12201" w:rsidRDefault="002E0104" w:rsidP="002E0104">
                      <w:pPr>
                        <w:rPr>
                          <w:sz w:val="16"/>
                          <w:lang w:eastAsia="x-none"/>
                        </w:rPr>
                      </w:pPr>
                      <w:r w:rsidRPr="00E12201">
                        <w:rPr>
                          <w:sz w:val="16"/>
                          <w:highlight w:val="green"/>
                          <w:lang w:eastAsia="x-none"/>
                        </w:rPr>
                        <w:t>Agreement:</w:t>
                      </w:r>
                    </w:p>
                    <w:p w14:paraId="70351429" w14:textId="77777777" w:rsidR="002E0104" w:rsidRPr="00E12201" w:rsidRDefault="002E0104" w:rsidP="002E0104">
                      <w:pPr>
                        <w:rPr>
                          <w:rFonts w:ascii="Times New Roman" w:hAnsi="Times New Roman"/>
                          <w:sz w:val="16"/>
                          <w:szCs w:val="22"/>
                          <w:lang w:eastAsia="en-GB"/>
                        </w:rPr>
                      </w:pPr>
                      <w:r w:rsidRPr="00E12201">
                        <w:rPr>
                          <w:sz w:val="16"/>
                        </w:rPr>
                        <w:t>When a UE is configured with two groups of search space sets for PDCCH</w:t>
                      </w:r>
                    </w:p>
                    <w:p w14:paraId="3F536ABF" w14:textId="77777777" w:rsidR="002E0104" w:rsidRPr="00E12201" w:rsidRDefault="002E0104" w:rsidP="00816D68">
                      <w:pPr>
                        <w:numPr>
                          <w:ilvl w:val="0"/>
                          <w:numId w:val="10"/>
                        </w:numPr>
                        <w:autoSpaceDN w:val="0"/>
                        <w:rPr>
                          <w:sz w:val="16"/>
                        </w:rPr>
                      </w:pPr>
                      <w:r w:rsidRPr="00E12201">
                        <w:rPr>
                          <w:sz w:val="16"/>
                        </w:rPr>
                        <w:t>The presence of a monitoring group flag in DCI format 2_0 is configurable</w:t>
                      </w:r>
                    </w:p>
                    <w:p w14:paraId="7E32F2FB" w14:textId="77777777" w:rsidR="002E0104" w:rsidRPr="00E12201" w:rsidRDefault="002E0104" w:rsidP="00816D68">
                      <w:pPr>
                        <w:numPr>
                          <w:ilvl w:val="0"/>
                          <w:numId w:val="10"/>
                        </w:numPr>
                        <w:autoSpaceDN w:val="0"/>
                        <w:rPr>
                          <w:sz w:val="16"/>
                        </w:rPr>
                      </w:pPr>
                      <w:r w:rsidRPr="00E12201">
                        <w:rPr>
                          <w:sz w:val="16"/>
                        </w:rPr>
                        <w:t>A timer is configured as a number of slots, which is decremented at the end of each slot.</w:t>
                      </w:r>
                    </w:p>
                    <w:p w14:paraId="03A07FF9" w14:textId="77777777" w:rsidR="002E0104" w:rsidRPr="00E12201" w:rsidRDefault="002E0104" w:rsidP="00816D68">
                      <w:pPr>
                        <w:numPr>
                          <w:ilvl w:val="0"/>
                          <w:numId w:val="10"/>
                        </w:numPr>
                        <w:autoSpaceDN w:val="0"/>
                        <w:rPr>
                          <w:sz w:val="16"/>
                        </w:rPr>
                      </w:pPr>
                      <w:r w:rsidRPr="00E12201">
                        <w:rPr>
                          <w:sz w:val="16"/>
                        </w:rPr>
                        <w:t>If the monitoring group flag is present in DCI format 2_0 (</w:t>
                      </w:r>
                      <w:r w:rsidRPr="00E12201">
                        <w:rPr>
                          <w:sz w:val="16"/>
                          <w:u w:val="single"/>
                        </w:rPr>
                        <w:t>Note: Explicit switching between Group1 and Group2 and vice versa, plus implicit switching from Group2 to Group1</w:t>
                      </w:r>
                      <w:r w:rsidRPr="00E12201">
                        <w:rPr>
                          <w:sz w:val="16"/>
                        </w:rPr>
                        <w:t xml:space="preserve">) </w:t>
                      </w:r>
                    </w:p>
                    <w:p w14:paraId="3F5A1F71" w14:textId="77777777" w:rsidR="002E0104" w:rsidRPr="00E12201" w:rsidRDefault="002E0104" w:rsidP="00816D68">
                      <w:pPr>
                        <w:numPr>
                          <w:ilvl w:val="1"/>
                          <w:numId w:val="10"/>
                        </w:numPr>
                        <w:autoSpaceDN w:val="0"/>
                        <w:rPr>
                          <w:sz w:val="16"/>
                        </w:rPr>
                      </w:pPr>
                      <w:r w:rsidRPr="00E12201">
                        <w:rPr>
                          <w:sz w:val="16"/>
                        </w:rPr>
                        <w:t>If the flag = 1</w:t>
                      </w:r>
                    </w:p>
                    <w:p w14:paraId="7F74FD6D" w14:textId="77777777" w:rsidR="002E0104" w:rsidRPr="00E12201" w:rsidRDefault="002E0104" w:rsidP="00816D68">
                      <w:pPr>
                        <w:numPr>
                          <w:ilvl w:val="2"/>
                          <w:numId w:val="10"/>
                        </w:numPr>
                        <w:autoSpaceDN w:val="0"/>
                        <w:rPr>
                          <w:sz w:val="16"/>
                        </w:rPr>
                      </w:pPr>
                      <w:r w:rsidRPr="00E12201">
                        <w:rPr>
                          <w:sz w:val="16"/>
                        </w:rPr>
                        <w:t>Switch to (or keep) monitoring Group2 at the next applicable slot boundary with respect to the detected DCI format 2_0</w:t>
                      </w:r>
                    </w:p>
                    <w:p w14:paraId="462B3476" w14:textId="77777777" w:rsidR="002E0104" w:rsidRPr="00E12201" w:rsidRDefault="002E0104" w:rsidP="00816D68">
                      <w:pPr>
                        <w:numPr>
                          <w:ilvl w:val="2"/>
                          <w:numId w:val="10"/>
                        </w:numPr>
                        <w:autoSpaceDN w:val="0"/>
                        <w:rPr>
                          <w:sz w:val="16"/>
                        </w:rPr>
                      </w:pPr>
                      <w:r w:rsidRPr="00E12201">
                        <w:rPr>
                          <w:sz w:val="16"/>
                        </w:rPr>
                        <w:t>The UE starts (or restarts) the configurable timer</w:t>
                      </w:r>
                    </w:p>
                    <w:p w14:paraId="02886212" w14:textId="77777777" w:rsidR="002E0104" w:rsidRPr="00E12201" w:rsidRDefault="002E0104" w:rsidP="00816D68">
                      <w:pPr>
                        <w:numPr>
                          <w:ilvl w:val="1"/>
                          <w:numId w:val="10"/>
                        </w:numPr>
                        <w:autoSpaceDN w:val="0"/>
                        <w:rPr>
                          <w:sz w:val="16"/>
                        </w:rPr>
                      </w:pPr>
                      <w:r w:rsidRPr="00E12201">
                        <w:rPr>
                          <w:sz w:val="16"/>
                        </w:rPr>
                        <w:t>If the flag = 0</w:t>
                      </w:r>
                    </w:p>
                    <w:p w14:paraId="4526FFCA" w14:textId="77777777" w:rsidR="002E0104" w:rsidRPr="00E12201" w:rsidRDefault="002E0104" w:rsidP="00816D68">
                      <w:pPr>
                        <w:numPr>
                          <w:ilvl w:val="2"/>
                          <w:numId w:val="10"/>
                        </w:numPr>
                        <w:autoSpaceDN w:val="0"/>
                        <w:rPr>
                          <w:sz w:val="16"/>
                        </w:rPr>
                      </w:pPr>
                      <w:r w:rsidRPr="00E12201">
                        <w:rPr>
                          <w:sz w:val="16"/>
                        </w:rPr>
                        <w:t>Switch to (or keep) monitoring Group1 at the next applicable slot boundary with respect to the detected DCI format 2_0</w:t>
                      </w:r>
                    </w:p>
                    <w:p w14:paraId="042FCB85"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P1 symbols after</w:t>
                      </w:r>
                    </w:p>
                    <w:p w14:paraId="389F5D59" w14:textId="77777777" w:rsidR="002E0104" w:rsidRPr="00E12201" w:rsidRDefault="002E0104" w:rsidP="00816D68">
                      <w:pPr>
                        <w:numPr>
                          <w:ilvl w:val="2"/>
                          <w:numId w:val="10"/>
                        </w:numPr>
                        <w:autoSpaceDN w:val="0"/>
                        <w:rPr>
                          <w:sz w:val="16"/>
                          <w:lang w:eastAsia="en-GB"/>
                        </w:rPr>
                      </w:pPr>
                      <w:r w:rsidRPr="00E12201">
                        <w:rPr>
                          <w:sz w:val="16"/>
                        </w:rPr>
                        <w:t>the end of the slot in which the timer expires, or</w:t>
                      </w:r>
                    </w:p>
                    <w:p w14:paraId="54CCE35E" w14:textId="77777777" w:rsidR="002E0104" w:rsidRPr="00E12201" w:rsidRDefault="002E0104" w:rsidP="00816D68">
                      <w:pPr>
                        <w:numPr>
                          <w:ilvl w:val="2"/>
                          <w:numId w:val="10"/>
                        </w:numPr>
                        <w:autoSpaceDN w:val="0"/>
                        <w:rPr>
                          <w:sz w:val="16"/>
                          <w:lang w:eastAsia="en-GB"/>
                        </w:rPr>
                      </w:pPr>
                      <w:r w:rsidRPr="00E12201">
                        <w:rPr>
                          <w:sz w:val="16"/>
                        </w:rPr>
                        <w:t>an indicated COT duration is exceeded, whichever comes first</w:t>
                      </w:r>
                    </w:p>
                    <w:p w14:paraId="533B644A" w14:textId="77777777" w:rsidR="002E0104" w:rsidRPr="00E12201" w:rsidRDefault="002E0104" w:rsidP="00816D68">
                      <w:pPr>
                        <w:numPr>
                          <w:ilvl w:val="0"/>
                          <w:numId w:val="10"/>
                        </w:numPr>
                        <w:autoSpaceDN w:val="0"/>
                        <w:rPr>
                          <w:sz w:val="16"/>
                        </w:rPr>
                      </w:pPr>
                      <w:r w:rsidRPr="00E12201">
                        <w:rPr>
                          <w:sz w:val="16"/>
                        </w:rPr>
                        <w:t>If the monitoring group flag is not present in DCI format 2_0 (</w:t>
                      </w:r>
                      <w:r w:rsidRPr="00E12201">
                        <w:rPr>
                          <w:sz w:val="16"/>
                          <w:u w:val="single"/>
                        </w:rPr>
                        <w:t>Note: Implicit switching between Group1 and Group2 and vice versa</w:t>
                      </w:r>
                      <w:r w:rsidRPr="00E12201">
                        <w:rPr>
                          <w:sz w:val="16"/>
                        </w:rPr>
                        <w:t xml:space="preserve">) </w:t>
                      </w:r>
                    </w:p>
                    <w:p w14:paraId="28834E3D"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505D4E74" w14:textId="77777777" w:rsidR="002E0104" w:rsidRPr="00E12201" w:rsidRDefault="002E0104" w:rsidP="00816D68">
                      <w:pPr>
                        <w:numPr>
                          <w:ilvl w:val="2"/>
                          <w:numId w:val="10"/>
                        </w:numPr>
                        <w:autoSpaceDN w:val="0"/>
                        <w:rPr>
                          <w:sz w:val="16"/>
                        </w:rPr>
                      </w:pPr>
                      <w:r w:rsidRPr="00E12201">
                        <w:rPr>
                          <w:sz w:val="16"/>
                        </w:rPr>
                        <w:t>Switch from Group1 to Group2 at the next applicable slot boundary with respect to the detected PDCCH</w:t>
                      </w:r>
                    </w:p>
                    <w:p w14:paraId="26979F3E"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21C4E4F8"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P2 symbols after</w:t>
                      </w:r>
                    </w:p>
                    <w:p w14:paraId="1990B099" w14:textId="77777777" w:rsidR="002E0104" w:rsidRPr="00E12201" w:rsidRDefault="002E0104" w:rsidP="00816D68">
                      <w:pPr>
                        <w:numPr>
                          <w:ilvl w:val="2"/>
                          <w:numId w:val="10"/>
                        </w:numPr>
                        <w:autoSpaceDN w:val="0"/>
                        <w:rPr>
                          <w:sz w:val="16"/>
                        </w:rPr>
                      </w:pPr>
                      <w:r w:rsidRPr="00E12201">
                        <w:rPr>
                          <w:sz w:val="16"/>
                        </w:rPr>
                        <w:t>the end of the slot in which the timer expires, or</w:t>
                      </w:r>
                    </w:p>
                    <w:p w14:paraId="5ED3A164" w14:textId="77777777" w:rsidR="002E0104" w:rsidRPr="00E12201" w:rsidRDefault="002E0104" w:rsidP="00816D68">
                      <w:pPr>
                        <w:numPr>
                          <w:ilvl w:val="2"/>
                          <w:numId w:val="10"/>
                        </w:numPr>
                        <w:autoSpaceDN w:val="0"/>
                        <w:rPr>
                          <w:sz w:val="16"/>
                        </w:rPr>
                      </w:pPr>
                      <w:r w:rsidRPr="00E12201">
                        <w:rPr>
                          <w:sz w:val="16"/>
                        </w:rPr>
                        <w:t>an indicated COT duration is exceeded, whichever comes first</w:t>
                      </w:r>
                    </w:p>
                    <w:p w14:paraId="77E361ED" w14:textId="77777777" w:rsidR="002E0104" w:rsidRPr="00E12201" w:rsidRDefault="002E0104" w:rsidP="00816D68">
                      <w:pPr>
                        <w:numPr>
                          <w:ilvl w:val="0"/>
                          <w:numId w:val="10"/>
                        </w:numPr>
                        <w:autoSpaceDN w:val="0"/>
                        <w:rPr>
                          <w:sz w:val="16"/>
                        </w:rPr>
                      </w:pPr>
                      <w:r w:rsidRPr="00E12201">
                        <w:rPr>
                          <w:sz w:val="16"/>
                        </w:rPr>
                        <w:t>If the UE does not monitor for DCI format 2_0 (</w:t>
                      </w:r>
                      <w:r w:rsidRPr="00E12201">
                        <w:rPr>
                          <w:sz w:val="16"/>
                          <w:u w:val="single"/>
                        </w:rPr>
                        <w:t>Note: Implicit switching between Group1 and Group2 and vice versa</w:t>
                      </w:r>
                      <w:r w:rsidRPr="00E12201">
                        <w:rPr>
                          <w:sz w:val="16"/>
                        </w:rPr>
                        <w:t xml:space="preserve">) </w:t>
                      </w:r>
                    </w:p>
                    <w:p w14:paraId="6930B0D0"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0BFC152D" w14:textId="77777777" w:rsidR="002E0104" w:rsidRPr="00E12201" w:rsidRDefault="002E0104" w:rsidP="00816D68">
                      <w:pPr>
                        <w:numPr>
                          <w:ilvl w:val="2"/>
                          <w:numId w:val="10"/>
                        </w:numPr>
                        <w:autoSpaceDN w:val="0"/>
                        <w:rPr>
                          <w:sz w:val="16"/>
                        </w:rPr>
                      </w:pPr>
                      <w:r w:rsidRPr="00E12201">
                        <w:rPr>
                          <w:sz w:val="16"/>
                        </w:rPr>
                        <w:t xml:space="preserve">Switch from Group1 to Group2 at the next applicable slot boundary with respect to the detected PDCCH </w:t>
                      </w:r>
                    </w:p>
                    <w:p w14:paraId="60C50B41"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024DA764" w14:textId="77777777" w:rsidR="002E0104" w:rsidRPr="00E12201" w:rsidRDefault="002E0104" w:rsidP="00816D68">
                      <w:pPr>
                        <w:numPr>
                          <w:ilvl w:val="1"/>
                          <w:numId w:val="10"/>
                        </w:numPr>
                        <w:autoSpaceDN w:val="0"/>
                        <w:rPr>
                          <w:sz w:val="16"/>
                        </w:rPr>
                      </w:pPr>
                      <w:r w:rsidRPr="00E12201">
                        <w:rPr>
                          <w:sz w:val="16"/>
                        </w:rPr>
                        <w:t>The UE switches from Group2 to Group1 at the earliest slot boundary that is at least P2 symbols after the end of the slot in which the timer expires</w:t>
                      </w:r>
                    </w:p>
                    <w:p w14:paraId="781B5495" w14:textId="77777777" w:rsidR="002E0104" w:rsidRPr="00E12201" w:rsidRDefault="002E0104" w:rsidP="00816D68">
                      <w:pPr>
                        <w:numPr>
                          <w:ilvl w:val="0"/>
                          <w:numId w:val="10"/>
                        </w:numPr>
                        <w:autoSpaceDN w:val="0"/>
                        <w:rPr>
                          <w:sz w:val="16"/>
                        </w:rPr>
                      </w:pPr>
                      <w:r w:rsidRPr="00E12201">
                        <w:rPr>
                          <w:sz w:val="16"/>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4B88CD3E" w14:textId="77777777" w:rsidR="002E0104" w:rsidRPr="00E12201" w:rsidRDefault="002E0104" w:rsidP="00816D68">
                      <w:pPr>
                        <w:numPr>
                          <w:ilvl w:val="0"/>
                          <w:numId w:val="10"/>
                        </w:numPr>
                        <w:autoSpaceDN w:val="0"/>
                        <w:rPr>
                          <w:sz w:val="16"/>
                        </w:rPr>
                      </w:pPr>
                      <w:r w:rsidRPr="00E12201">
                        <w:rPr>
                          <w:sz w:val="16"/>
                        </w:rPr>
                        <w:t>Search space switching is a new UE capability</w:t>
                      </w:r>
                    </w:p>
                    <w:p w14:paraId="5A36B0B1" w14:textId="77777777" w:rsidR="002E0104" w:rsidRPr="00E12201" w:rsidRDefault="002E0104" w:rsidP="00816D68">
                      <w:pPr>
                        <w:numPr>
                          <w:ilvl w:val="1"/>
                          <w:numId w:val="10"/>
                        </w:numPr>
                        <w:autoSpaceDN w:val="0"/>
                        <w:rPr>
                          <w:sz w:val="16"/>
                        </w:rPr>
                      </w:pPr>
                      <w:r w:rsidRPr="00E12201">
                        <w:rPr>
                          <w:sz w:val="16"/>
                        </w:rPr>
                        <w:t>Processing time is fixed in the specification</w:t>
                      </w:r>
                    </w:p>
                    <w:p w14:paraId="7F256916" w14:textId="77777777" w:rsidR="002E0104" w:rsidRPr="00E12201" w:rsidRDefault="002E0104" w:rsidP="00816D68">
                      <w:pPr>
                        <w:numPr>
                          <w:ilvl w:val="0"/>
                          <w:numId w:val="10"/>
                        </w:numPr>
                        <w:autoSpaceDN w:val="0"/>
                        <w:rPr>
                          <w:sz w:val="16"/>
                        </w:rPr>
                      </w:pPr>
                      <w:r w:rsidRPr="00E12201">
                        <w:rPr>
                          <w:sz w:val="16"/>
                        </w:rPr>
                        <w:t>FFS: Whether P1 and P2 need to be different</w:t>
                      </w:r>
                    </w:p>
                    <w:p w14:paraId="3878D524" w14:textId="6EDA2FC7" w:rsidR="005C35D5" w:rsidRPr="00E12201" w:rsidRDefault="002E0104" w:rsidP="00816D68">
                      <w:pPr>
                        <w:numPr>
                          <w:ilvl w:val="0"/>
                          <w:numId w:val="10"/>
                        </w:numPr>
                        <w:autoSpaceDN w:val="0"/>
                        <w:rPr>
                          <w:sz w:val="16"/>
                        </w:rPr>
                      </w:pPr>
                      <w:r w:rsidRPr="00E12201">
                        <w:rPr>
                          <w:sz w:val="16"/>
                        </w:rPr>
                        <w:t>The groups of serving cells to which the above behavior is applicable can be configured via RRC</w:t>
                      </w:r>
                    </w:p>
                  </w:txbxContent>
                </v:textbox>
                <w10:wrap type="square" anchorx="margin"/>
              </v:shape>
            </w:pict>
          </mc:Fallback>
        </mc:AlternateContent>
      </w:r>
      <w:r w:rsidRPr="0079465D">
        <w:rPr>
          <w:rFonts w:ascii="Times New Roman" w:eastAsia="宋体" w:hAnsi="Times New Roman" w:hint="eastAsia"/>
          <w:lang w:eastAsia="zh-CN"/>
        </w:rPr>
        <w:t>I</w:t>
      </w:r>
      <w:r w:rsidRPr="0079465D">
        <w:rPr>
          <w:rFonts w:ascii="Times New Roman" w:eastAsia="宋体" w:hAnsi="Times New Roman"/>
          <w:lang w:eastAsia="zh-CN"/>
        </w:rPr>
        <w:t xml:space="preserve">n </w:t>
      </w:r>
      <w:r>
        <w:rPr>
          <w:rFonts w:ascii="Times New Roman" w:eastAsia="宋体" w:hAnsi="Times New Roman"/>
          <w:lang w:eastAsia="zh-CN"/>
        </w:rPr>
        <w:t>RAN1#99</w:t>
      </w:r>
      <w:r w:rsidR="00F64E44">
        <w:rPr>
          <w:rFonts w:ascii="Times New Roman" w:eastAsia="宋体" w:hAnsi="Times New Roman"/>
          <w:lang w:eastAsia="zh-CN"/>
        </w:rPr>
        <w:t xml:space="preserve"> </w:t>
      </w:r>
      <w:r w:rsidR="00F64E44">
        <w:rPr>
          <w:rFonts w:ascii="Times New Roman" w:eastAsia="宋体" w:hAnsi="Times New Roman"/>
          <w:lang w:eastAsia="zh-CN"/>
        </w:rPr>
        <w:fldChar w:fldCharType="begin"/>
      </w:r>
      <w:r w:rsidR="00F64E44">
        <w:rPr>
          <w:rFonts w:ascii="Times New Roman" w:eastAsia="宋体" w:hAnsi="Times New Roman"/>
          <w:lang w:eastAsia="zh-CN"/>
        </w:rPr>
        <w:instrText xml:space="preserve"> REF _Ref32418643 \r \h </w:instrText>
      </w:r>
      <w:r w:rsidR="00F64E44">
        <w:rPr>
          <w:rFonts w:ascii="Times New Roman" w:eastAsia="宋体" w:hAnsi="Times New Roman"/>
          <w:lang w:eastAsia="zh-CN"/>
        </w:rPr>
      </w:r>
      <w:r w:rsidR="00F64E44">
        <w:rPr>
          <w:rFonts w:ascii="Times New Roman" w:eastAsia="宋体" w:hAnsi="Times New Roman"/>
          <w:lang w:eastAsia="zh-CN"/>
        </w:rPr>
        <w:fldChar w:fldCharType="separate"/>
      </w:r>
      <w:r w:rsidR="00F64E44">
        <w:rPr>
          <w:rFonts w:ascii="Times New Roman" w:eastAsia="宋体" w:hAnsi="Times New Roman"/>
          <w:lang w:eastAsia="zh-CN"/>
        </w:rPr>
        <w:t>[1]</w:t>
      </w:r>
      <w:r w:rsidR="00F64E44">
        <w:rPr>
          <w:rFonts w:ascii="Times New Roman" w:eastAsia="宋体" w:hAnsi="Times New Roman"/>
          <w:lang w:eastAsia="zh-CN"/>
        </w:rPr>
        <w:fldChar w:fldCharType="end"/>
      </w:r>
      <w:r>
        <w:rPr>
          <w:rFonts w:ascii="Times New Roman" w:eastAsia="宋体" w:hAnsi="Times New Roman"/>
          <w:lang w:eastAsia="zh-CN"/>
        </w:rPr>
        <w:t>, the following agreement was made on search space group switching</w:t>
      </w:r>
      <w:r w:rsidR="00C560CA">
        <w:rPr>
          <w:rFonts w:ascii="Times New Roman" w:eastAsia="宋体" w:hAnsi="Times New Roman"/>
          <w:lang w:eastAsia="zh-CN"/>
        </w:rPr>
        <w:t xml:space="preserve"> </w:t>
      </w:r>
      <w:r w:rsidR="00C560CA">
        <w:rPr>
          <w:rFonts w:ascii="Times New Roman" w:eastAsia="宋体" w:hAnsi="Times New Roman"/>
          <w:lang w:eastAsia="zh-CN"/>
        </w:rPr>
        <w:fldChar w:fldCharType="begin"/>
      </w:r>
      <w:r w:rsidR="00C560CA">
        <w:rPr>
          <w:rFonts w:ascii="Times New Roman" w:eastAsia="宋体" w:hAnsi="Times New Roman"/>
          <w:lang w:eastAsia="zh-CN"/>
        </w:rPr>
        <w:instrText xml:space="preserve"> REF _Ref32418643 \r \h </w:instrText>
      </w:r>
      <w:r w:rsidR="00C560CA">
        <w:rPr>
          <w:rFonts w:ascii="Times New Roman" w:eastAsia="宋体" w:hAnsi="Times New Roman"/>
          <w:lang w:eastAsia="zh-CN"/>
        </w:rPr>
      </w:r>
      <w:r w:rsidR="00C560CA">
        <w:rPr>
          <w:rFonts w:ascii="Times New Roman" w:eastAsia="宋体" w:hAnsi="Times New Roman"/>
          <w:lang w:eastAsia="zh-CN"/>
        </w:rPr>
        <w:fldChar w:fldCharType="separate"/>
      </w:r>
      <w:r w:rsidR="00E66324">
        <w:rPr>
          <w:rFonts w:ascii="Times New Roman" w:eastAsia="宋体" w:hAnsi="Times New Roman"/>
          <w:lang w:eastAsia="zh-CN"/>
        </w:rPr>
        <w:t>[1]</w:t>
      </w:r>
      <w:r w:rsidR="00C560CA">
        <w:rPr>
          <w:rFonts w:ascii="Times New Roman" w:eastAsia="宋体" w:hAnsi="Times New Roman"/>
          <w:lang w:eastAsia="zh-CN"/>
        </w:rPr>
        <w:fldChar w:fldCharType="end"/>
      </w:r>
      <w:r w:rsidR="00C560CA">
        <w:rPr>
          <w:rFonts w:ascii="Times New Roman" w:eastAsia="宋体" w:hAnsi="Times New Roman"/>
          <w:lang w:eastAsia="zh-CN"/>
        </w:rPr>
        <w:t>:</w:t>
      </w:r>
    </w:p>
    <w:p w14:paraId="5288DCFC" w14:textId="12DEF8C5" w:rsidR="005C35D5" w:rsidRDefault="005C35D5" w:rsidP="002E0104">
      <w:pPr>
        <w:pStyle w:val="a0"/>
        <w:spacing w:before="120"/>
        <w:rPr>
          <w:rFonts w:ascii="Times New Roman" w:eastAsia="宋体" w:hAnsi="Times New Roman"/>
          <w:lang w:eastAsia="zh-CN"/>
        </w:rPr>
      </w:pPr>
      <w:bookmarkStart w:id="3" w:name="PP12"/>
      <w:r w:rsidRPr="00162418">
        <w:rPr>
          <w:rFonts w:ascii="Times New Roman" w:eastAsia="宋体" w:hAnsi="Times New Roman" w:hint="eastAsia"/>
          <w:lang w:eastAsia="zh-CN"/>
        </w:rPr>
        <w:t>F</w:t>
      </w:r>
      <w:r w:rsidRPr="00162418">
        <w:rPr>
          <w:rFonts w:ascii="Times New Roman" w:eastAsia="宋体" w:hAnsi="Times New Roman"/>
          <w:lang w:eastAsia="zh-CN"/>
        </w:rPr>
        <w:t xml:space="preserve">rom </w:t>
      </w:r>
      <w:r>
        <w:rPr>
          <w:rFonts w:ascii="Times New Roman" w:eastAsia="宋体" w:hAnsi="Times New Roman"/>
          <w:lang w:eastAsia="zh-CN"/>
        </w:rPr>
        <w:t xml:space="preserve">the above agreement, UE could be configured with two separate search space (SS) group but only one </w:t>
      </w:r>
      <w:r w:rsidR="00AA0E57">
        <w:rPr>
          <w:rFonts w:ascii="Times New Roman" w:eastAsia="宋体" w:hAnsi="Times New Roman"/>
          <w:lang w:eastAsia="zh-CN"/>
        </w:rPr>
        <w:t xml:space="preserve">SS </w:t>
      </w:r>
      <w:r>
        <w:rPr>
          <w:rFonts w:ascii="Times New Roman" w:eastAsia="宋体" w:hAnsi="Times New Roman"/>
          <w:lang w:eastAsia="zh-CN"/>
        </w:rPr>
        <w:t xml:space="preserve">group is active in a certain time duration. The details on </w:t>
      </w:r>
      <w:r w:rsidR="00AA0E57">
        <w:rPr>
          <w:rFonts w:ascii="Times New Roman" w:eastAsia="宋体" w:hAnsi="Times New Roman"/>
          <w:lang w:eastAsia="zh-CN"/>
        </w:rPr>
        <w:t xml:space="preserve">implicit or explicit </w:t>
      </w:r>
      <w:r>
        <w:rPr>
          <w:rFonts w:ascii="Times New Roman" w:eastAsia="宋体" w:hAnsi="Times New Roman"/>
          <w:lang w:eastAsia="zh-CN"/>
        </w:rPr>
        <w:t xml:space="preserve">switching condition are also provided </w:t>
      </w:r>
      <w:r w:rsidR="00AA0E57">
        <w:rPr>
          <w:rFonts w:ascii="Times New Roman" w:eastAsia="宋体" w:hAnsi="Times New Roman"/>
          <w:lang w:eastAsia="zh-CN"/>
        </w:rPr>
        <w:t xml:space="preserve">in the above agreement. However, </w:t>
      </w:r>
      <w:r w:rsidR="00A945A5">
        <w:rPr>
          <w:rFonts w:ascii="Times New Roman" w:eastAsia="宋体" w:hAnsi="Times New Roman"/>
          <w:lang w:eastAsia="zh-CN"/>
        </w:rPr>
        <w:t xml:space="preserve">which group should be monitored immediately after RRC configuration </w:t>
      </w:r>
      <w:r w:rsidR="00A60CEF">
        <w:rPr>
          <w:rFonts w:ascii="Times New Roman" w:eastAsia="宋体" w:hAnsi="Times New Roman"/>
          <w:lang w:eastAsia="zh-CN"/>
        </w:rPr>
        <w:t xml:space="preserve">on SS, or switching to another cell or BWP, DRX on and etc. </w:t>
      </w:r>
      <w:r w:rsidR="00C560CA">
        <w:rPr>
          <w:rFonts w:ascii="Times New Roman" w:eastAsia="宋体" w:hAnsi="Times New Roman"/>
          <w:lang w:eastAsia="zh-CN"/>
        </w:rPr>
        <w:t>So,</w:t>
      </w:r>
      <w:r w:rsidR="00A60CEF">
        <w:rPr>
          <w:rFonts w:ascii="Times New Roman" w:eastAsia="宋体" w:hAnsi="Times New Roman"/>
          <w:lang w:eastAsia="zh-CN"/>
        </w:rPr>
        <w:t xml:space="preserve"> there is need to define a default search space set group</w:t>
      </w:r>
      <w:r w:rsidR="00E12201">
        <w:rPr>
          <w:rFonts w:ascii="Times New Roman" w:eastAsia="宋体" w:hAnsi="Times New Roman"/>
          <w:lang w:eastAsia="zh-CN"/>
        </w:rPr>
        <w:t xml:space="preserve"> to serve the above purpose.</w:t>
      </w:r>
    </w:p>
    <w:p w14:paraId="12DD81AA" w14:textId="45F2D9F3" w:rsidR="00E12201" w:rsidRDefault="00E12201" w:rsidP="00E12201">
      <w:pPr>
        <w:spacing w:afterLines="50" w:after="120"/>
        <w:jc w:val="both"/>
        <w:rPr>
          <w:rFonts w:ascii="Times New Roman" w:hAnsi="Times New Roman"/>
          <w:b/>
        </w:rPr>
      </w:pPr>
      <w:bookmarkStart w:id="4" w:name="_Ref23948315"/>
      <w:r w:rsidRPr="00767C12">
        <w:rPr>
          <w:rFonts w:ascii="Times New Roman" w:hAnsi="Times New Roman"/>
          <w:b/>
        </w:rPr>
        <w:t xml:space="preserve">Proposal </w:t>
      </w:r>
      <w:r w:rsidRPr="00767C12">
        <w:rPr>
          <w:rFonts w:ascii="Times New Roman" w:hAnsi="Times New Roman"/>
          <w:b/>
        </w:rPr>
        <w:fldChar w:fldCharType="begin"/>
      </w:r>
      <w:r w:rsidRPr="00767C12">
        <w:rPr>
          <w:rFonts w:ascii="Times New Roman" w:hAnsi="Times New Roman"/>
          <w:b/>
        </w:rPr>
        <w:instrText xml:space="preserve"> SEQ Proposal \* ARABIC </w:instrText>
      </w:r>
      <w:r w:rsidRPr="00767C12">
        <w:rPr>
          <w:rFonts w:ascii="Times New Roman" w:hAnsi="Times New Roman"/>
          <w:b/>
        </w:rPr>
        <w:fldChar w:fldCharType="separate"/>
      </w:r>
      <w:r w:rsidR="00E66324">
        <w:rPr>
          <w:rFonts w:ascii="Times New Roman" w:hAnsi="Times New Roman"/>
          <w:b/>
          <w:noProof/>
        </w:rPr>
        <w:t>1</w:t>
      </w:r>
      <w:r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One default SS group </w:t>
      </w:r>
      <w:r w:rsidR="007B4D72">
        <w:rPr>
          <w:rFonts w:ascii="Times New Roman" w:hAnsi="Times New Roman"/>
          <w:b/>
        </w:rPr>
        <w:t xml:space="preserve">(i.e. search space sets with group index 0) </w:t>
      </w:r>
      <w:r>
        <w:rPr>
          <w:rFonts w:ascii="Times New Roman" w:hAnsi="Times New Roman"/>
          <w:b/>
        </w:rPr>
        <w:t>should be specified for UE to perform PDCCH monitoring after RRC configuration on SS, switching to another BWP or cell, from DRX off to DRX on.</w:t>
      </w:r>
      <w:bookmarkEnd w:id="4"/>
    </w:p>
    <w:p w14:paraId="28C26E96" w14:textId="34FFEEDD" w:rsidR="00E334FA" w:rsidRDefault="00E334FA" w:rsidP="00E334FA">
      <w:pPr>
        <w:spacing w:before="120" w:after="120"/>
        <w:rPr>
          <w:rFonts w:ascii="Times New Roman" w:hAnsi="Times New Roman"/>
          <w:b/>
        </w:rPr>
      </w:pPr>
      <w:bookmarkStart w:id="5" w:name="_Ref32412110"/>
      <w:bookmarkStart w:id="6" w:name="_Ref37083670"/>
      <w:r>
        <w:rPr>
          <w:rFonts w:ascii="Times New Roman" w:hAnsi="Times New Roman"/>
          <w:b/>
        </w:rPr>
        <w:t xml:space="preserve">Proposal </w:t>
      </w:r>
      <w:r>
        <w:fldChar w:fldCharType="begin"/>
      </w:r>
      <w:r>
        <w:rPr>
          <w:rFonts w:ascii="Times New Roman" w:hAnsi="Times New Roman"/>
          <w:b/>
        </w:rPr>
        <w:instrText xml:space="preserve"> SEQ Proposal \* ARABIC </w:instrText>
      </w:r>
      <w:r>
        <w:fldChar w:fldCharType="separate"/>
      </w:r>
      <w:r w:rsidR="00E66324">
        <w:rPr>
          <w:rFonts w:ascii="Times New Roman" w:hAnsi="Times New Roman"/>
          <w:b/>
          <w:noProof/>
        </w:rPr>
        <w:t>2</w:t>
      </w:r>
      <w:r>
        <w:fldChar w:fldCharType="end"/>
      </w:r>
      <w:r>
        <w:rPr>
          <w:rFonts w:ascii="Times New Roman" w:hAnsi="Times New Roman"/>
          <w:b/>
        </w:rPr>
        <w:t xml:space="preserve">: RAN1 adopt the </w:t>
      </w:r>
      <w:r w:rsidR="00E66324">
        <w:rPr>
          <w:rFonts w:ascii="Times New Roman" w:hAnsi="Times New Roman"/>
          <w:b/>
        </w:rPr>
        <w:t xml:space="preserve">following </w:t>
      </w:r>
      <w:r>
        <w:rPr>
          <w:rFonts w:ascii="Times New Roman" w:hAnsi="Times New Roman"/>
          <w:b/>
        </w:rPr>
        <w:t>TP</w:t>
      </w:r>
      <w:r w:rsidR="00A438C5">
        <w:rPr>
          <w:rFonts w:ascii="Times New Roman" w:hAnsi="Times New Roman"/>
          <w:b/>
        </w:rPr>
        <w:t>1</w:t>
      </w:r>
      <w:r>
        <w:rPr>
          <w:rFonts w:ascii="Times New Roman" w:hAnsi="Times New Roman"/>
          <w:b/>
        </w:rPr>
        <w:t xml:space="preserve"> on section </w:t>
      </w:r>
      <w:r w:rsidR="00EC0DD8">
        <w:rPr>
          <w:rFonts w:ascii="Times New Roman" w:hAnsi="Times New Roman"/>
          <w:b/>
        </w:rPr>
        <w:t>10</w:t>
      </w:r>
      <w:r>
        <w:rPr>
          <w:rFonts w:ascii="Times New Roman" w:hAnsi="Times New Roman"/>
          <w:b/>
        </w:rPr>
        <w:t>.</w:t>
      </w:r>
      <w:r w:rsidR="00EC0DD8">
        <w:rPr>
          <w:rFonts w:ascii="Times New Roman" w:hAnsi="Times New Roman"/>
          <w:b/>
        </w:rPr>
        <w:t>4</w:t>
      </w:r>
      <w:r>
        <w:rPr>
          <w:rFonts w:ascii="Times New Roman" w:hAnsi="Times New Roman"/>
          <w:b/>
        </w:rPr>
        <w:t xml:space="preserve"> of TS 38.213</w:t>
      </w:r>
      <w:bookmarkEnd w:id="5"/>
      <w:r w:rsidR="00A438C5">
        <w:rPr>
          <w:rFonts w:ascii="Times New Roman" w:hAnsi="Times New Roman"/>
          <w:b/>
        </w:rPr>
        <w:t>.</w:t>
      </w:r>
      <w:bookmarkEnd w:id="6"/>
    </w:p>
    <w:p w14:paraId="4619350D" w14:textId="336A8140" w:rsidR="00E334FA" w:rsidRDefault="00E334FA" w:rsidP="00E334FA">
      <w:pPr>
        <w:spacing w:after="160" w:line="256" w:lineRule="auto"/>
      </w:pPr>
      <w:r>
        <w:lastRenderedPageBreak/>
        <w:t>-------------------------------------------</w:t>
      </w:r>
      <w:r w:rsidR="00B359F6">
        <w:t xml:space="preserve"> </w:t>
      </w:r>
      <w:r>
        <w:t>Start TP</w:t>
      </w:r>
      <w:r w:rsidR="00A438C5">
        <w:t>1</w:t>
      </w:r>
      <w:r>
        <w:t xml:space="preserve"> for Section </w:t>
      </w:r>
      <w:r w:rsidR="00EC0DD8">
        <w:t>10</w:t>
      </w:r>
      <w:r>
        <w:t>.</w:t>
      </w:r>
      <w:r w:rsidR="00EC0DD8">
        <w:t>4</w:t>
      </w:r>
      <w:r>
        <w:t xml:space="preserve"> of TS 38.213 -------------------------------------</w:t>
      </w:r>
      <w:r w:rsidR="00EC0DD8">
        <w:t>-</w:t>
      </w:r>
    </w:p>
    <w:p w14:paraId="76284D4C" w14:textId="4A08FCF5" w:rsidR="00E334FA" w:rsidRDefault="00B359F6" w:rsidP="00B359F6">
      <w:pPr>
        <w:pStyle w:val="a0"/>
        <w:spacing w:before="120"/>
        <w:rPr>
          <w:rFonts w:ascii="Times New Roman" w:eastAsia="宋体" w:hAnsi="Times New Roman"/>
          <w:lang w:eastAsia="zh-CN"/>
        </w:rPr>
      </w:pPr>
      <w:r w:rsidRPr="00B359F6">
        <w:rPr>
          <w:rFonts w:ascii="Times New Roman" w:eastAsia="宋体" w:hAnsi="Times New Roman"/>
          <w:lang w:eastAsia="zh-CN"/>
        </w:rPr>
        <w:t>A UE can be provided a group index for a respective search space set by searchSpaceGroupIdList-r16 for PDCCH monitoring on a serving cell indicated by searchSpaceSwitchingGroup-r16. If the UE is not provided searchSpaceGroupIdList-r16 for a search space set, or for PDCCH monitoring on a serving cell that is not indicated by searchSpaceSwitchingGroup-r16, the following procedures are not applicable for PDCCH monitoring according to the search space set.</w:t>
      </w:r>
    </w:p>
    <w:p w14:paraId="55DD2F33" w14:textId="7B2A2C13" w:rsidR="00944BE7" w:rsidRPr="007B4D72" w:rsidRDefault="007B4D72" w:rsidP="00B359F6">
      <w:pPr>
        <w:pStyle w:val="a0"/>
        <w:spacing w:before="120"/>
        <w:rPr>
          <w:rFonts w:ascii="Times New Roman" w:eastAsia="宋体" w:hAnsi="Times New Roman"/>
          <w:u w:val="single"/>
          <w:lang w:eastAsia="zh-CN"/>
        </w:rPr>
      </w:pPr>
      <w:r w:rsidRPr="007B4D72">
        <w:rPr>
          <w:rFonts w:ascii="Times New Roman" w:eastAsia="宋体" w:hAnsi="Times New Roman" w:hint="eastAsia"/>
          <w:color w:val="FF0000"/>
          <w:u w:val="single"/>
          <w:lang w:eastAsia="zh-CN"/>
        </w:rPr>
        <w:t>I</w:t>
      </w:r>
      <w:r w:rsidRPr="007B4D72">
        <w:rPr>
          <w:rFonts w:ascii="Times New Roman" w:eastAsia="宋体" w:hAnsi="Times New Roman"/>
          <w:color w:val="FF0000"/>
          <w:u w:val="single"/>
          <w:lang w:eastAsia="zh-CN"/>
        </w:rPr>
        <w:t>n default, search space sets with group index 0 will be monitored immediately after receiving RRC configuration on search space sets, switching to another BWP or cell, switching from DRX off to DRX on.</w:t>
      </w:r>
    </w:p>
    <w:p w14:paraId="6DA56D53" w14:textId="640BF0B3" w:rsidR="00E12201" w:rsidRDefault="00E334FA" w:rsidP="00E334FA">
      <w:pPr>
        <w:pStyle w:val="a0"/>
        <w:spacing w:before="120"/>
      </w:pPr>
      <w:r>
        <w:t>--------------------------------------------- End TP</w:t>
      </w:r>
      <w:r w:rsidR="00A438C5">
        <w:t>1</w:t>
      </w:r>
      <w:r>
        <w:t xml:space="preserve"> for Section </w:t>
      </w:r>
      <w:r w:rsidR="00EC0DD8">
        <w:t>10</w:t>
      </w:r>
      <w:r>
        <w:t>.</w:t>
      </w:r>
      <w:r w:rsidR="00EC0DD8">
        <w:t>4</w:t>
      </w:r>
      <w:r>
        <w:t xml:space="preserve"> of TS 38.213 --------------------------------------</w:t>
      </w:r>
    </w:p>
    <w:p w14:paraId="0EBB8A82" w14:textId="20910D97" w:rsidR="00B43D31" w:rsidRDefault="00B43D31" w:rsidP="00A438C5">
      <w:pPr>
        <w:pStyle w:val="20"/>
        <w:rPr>
          <w:rFonts w:eastAsia="宋体"/>
          <w:b w:val="0"/>
          <w:sz w:val="30"/>
          <w:szCs w:val="30"/>
        </w:rPr>
      </w:pPr>
      <w:r>
        <w:rPr>
          <w:rFonts w:eastAsia="宋体" w:hint="eastAsia"/>
          <w:b w:val="0"/>
          <w:sz w:val="30"/>
          <w:szCs w:val="30"/>
        </w:rPr>
        <w:t>C</w:t>
      </w:r>
      <w:r>
        <w:rPr>
          <w:rFonts w:eastAsia="宋体"/>
          <w:b w:val="0"/>
          <w:sz w:val="30"/>
          <w:szCs w:val="30"/>
        </w:rPr>
        <w:t>OT duration indication</w:t>
      </w:r>
    </w:p>
    <w:p w14:paraId="367DE837" w14:textId="7CC4044E" w:rsidR="00AA20FD" w:rsidRDefault="00F64E44" w:rsidP="00B43D31">
      <w:pPr>
        <w:pStyle w:val="a0"/>
        <w:rPr>
          <w:rFonts w:ascii="Times New Roman" w:eastAsia="宋体" w:hAnsi="Times New Roman"/>
          <w:lang w:eastAsia="zh-CN"/>
        </w:rPr>
      </w:pPr>
      <w:r w:rsidRPr="00654E05">
        <w:rPr>
          <w:rFonts w:eastAsiaTheme="minorEastAsia"/>
          <w:noProof/>
          <w:lang w:eastAsia="zh-CN"/>
        </w:rPr>
        <mc:AlternateContent>
          <mc:Choice Requires="wps">
            <w:drawing>
              <wp:anchor distT="45720" distB="45720" distL="114300" distR="114300" simplePos="0" relativeHeight="251658752" behindDoc="0" locked="0" layoutInCell="1" allowOverlap="1" wp14:anchorId="147C1843" wp14:editId="3B59B846">
                <wp:simplePos x="0" y="0"/>
                <wp:positionH relativeFrom="margin">
                  <wp:posOffset>0</wp:posOffset>
                </wp:positionH>
                <wp:positionV relativeFrom="paragraph">
                  <wp:posOffset>271636</wp:posOffset>
                </wp:positionV>
                <wp:extent cx="5708015" cy="1404620"/>
                <wp:effectExtent l="0" t="0" r="26035" b="254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3F33A806" w14:textId="77777777" w:rsidR="00AA20FD" w:rsidRPr="00AA20FD" w:rsidRDefault="00AA20FD" w:rsidP="00AA20FD">
                            <w:pPr>
                              <w:rPr>
                                <w:color w:val="000000"/>
                                <w:sz w:val="16"/>
                              </w:rPr>
                            </w:pPr>
                            <w:r w:rsidRPr="00AA20FD">
                              <w:rPr>
                                <w:color w:val="000000"/>
                                <w:sz w:val="16"/>
                                <w:highlight w:val="green"/>
                              </w:rPr>
                              <w:t>Agreement:</w:t>
                            </w:r>
                          </w:p>
                          <w:p w14:paraId="31784C81" w14:textId="11BC152B" w:rsidR="00AA20FD" w:rsidRPr="00AA20FD" w:rsidRDefault="00AA20FD" w:rsidP="00AA20FD">
                            <w:pPr>
                              <w:rPr>
                                <w:color w:val="000000"/>
                                <w:sz w:val="16"/>
                              </w:rPr>
                            </w:pPr>
                            <w:r w:rsidRPr="00AA20FD">
                              <w:rPr>
                                <w:color w:val="000000"/>
                                <w:sz w:val="16"/>
                              </w:rPr>
                              <w:t xml:space="preserve">The value for a single channel occupancy duration value (co-Duration-r16) can range from 0 to 20 ms with a </w:t>
                            </w:r>
                            <w:r w:rsidRPr="00AA20FD">
                              <w:rPr>
                                <w:color w:val="000000"/>
                                <w:sz w:val="16"/>
                                <w:highlight w:val="yellow"/>
                              </w:rPr>
                              <w:t>granularity of one symbol</w:t>
                            </w:r>
                            <w:r w:rsidRPr="00AA20FD">
                              <w:rPr>
                                <w:color w:val="000000"/>
                                <w:sz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7C1843" id="_x0000_s1027" type="#_x0000_t202" style="position:absolute;left:0;text-align:left;margin-left:0;margin-top:21.4pt;width:449.45pt;height:110.6pt;z-index:2516587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">
                <v:textbox style="mso-fit-shape-to-text:t">
                  <w:txbxContent>
                    <w:p w14:paraId="3F33A806" w14:textId="77777777" w:rsidR="00AA20FD" w:rsidRPr="00AA20FD" w:rsidRDefault="00AA20FD" w:rsidP="00AA20FD">
                      <w:pPr>
                        <w:rPr>
                          <w:color w:val="000000"/>
                          <w:sz w:val="16"/>
                        </w:rPr>
                      </w:pPr>
                      <w:r w:rsidRPr="00AA20FD">
                        <w:rPr>
                          <w:color w:val="000000"/>
                          <w:sz w:val="16"/>
                          <w:highlight w:val="green"/>
                        </w:rPr>
                        <w:t>Agreement:</w:t>
                      </w:r>
                    </w:p>
                    <w:p w14:paraId="31784C81" w14:textId="11BC152B" w:rsidR="00AA20FD" w:rsidRPr="00AA20FD" w:rsidRDefault="00AA20FD" w:rsidP="00AA20FD">
                      <w:pPr>
                        <w:rPr>
                          <w:color w:val="000000"/>
                          <w:sz w:val="16"/>
                        </w:rPr>
                      </w:pPr>
                      <w:r w:rsidRPr="00AA20FD">
                        <w:rPr>
                          <w:color w:val="000000"/>
                          <w:sz w:val="16"/>
                        </w:rPr>
                        <w:t xml:space="preserve">The value for a single channel occupancy duration value (co-Duration-r16) can range from 0 to 20 </w:t>
                      </w:r>
                      <w:proofErr w:type="spellStart"/>
                      <w:r w:rsidRPr="00AA20FD">
                        <w:rPr>
                          <w:color w:val="000000"/>
                          <w:sz w:val="16"/>
                        </w:rPr>
                        <w:t>ms</w:t>
                      </w:r>
                      <w:proofErr w:type="spellEnd"/>
                      <w:r w:rsidRPr="00AA20FD">
                        <w:rPr>
                          <w:color w:val="000000"/>
                          <w:sz w:val="16"/>
                        </w:rPr>
                        <w:t xml:space="preserve"> with a </w:t>
                      </w:r>
                      <w:r w:rsidRPr="00AA20FD">
                        <w:rPr>
                          <w:color w:val="000000"/>
                          <w:sz w:val="16"/>
                          <w:highlight w:val="yellow"/>
                        </w:rPr>
                        <w:t>granularity of one symbol</w:t>
                      </w:r>
                      <w:r w:rsidRPr="00AA20FD">
                        <w:rPr>
                          <w:color w:val="000000"/>
                          <w:sz w:val="16"/>
                        </w:rPr>
                        <w:t>.</w:t>
                      </w:r>
                    </w:p>
                  </w:txbxContent>
                </v:textbox>
                <w10:wrap type="square" anchorx="margin"/>
              </v:shape>
            </w:pict>
          </mc:Fallback>
        </mc:AlternateContent>
      </w:r>
      <w:r w:rsidR="00B43D31" w:rsidRPr="00B43D31">
        <w:rPr>
          <w:rFonts w:ascii="Times New Roman" w:eastAsia="宋体" w:hAnsi="Times New Roman" w:hint="eastAsia"/>
          <w:lang w:eastAsia="zh-CN"/>
        </w:rPr>
        <w:t>I</w:t>
      </w:r>
      <w:r w:rsidR="00B43D31" w:rsidRPr="00B43D31">
        <w:rPr>
          <w:rFonts w:ascii="Times New Roman" w:eastAsia="宋体" w:hAnsi="Times New Roman"/>
          <w:lang w:eastAsia="zh-CN"/>
        </w:rPr>
        <w:t>n RAN1#100e</w:t>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_Ref37348822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sidR="00B43D31" w:rsidRPr="00B43D31">
        <w:rPr>
          <w:rFonts w:ascii="Times New Roman" w:eastAsia="宋体" w:hAnsi="Times New Roman"/>
          <w:lang w:eastAsia="zh-CN"/>
        </w:rPr>
        <w:t xml:space="preserve">, </w:t>
      </w:r>
      <w:r w:rsidR="00AA20FD">
        <w:rPr>
          <w:rFonts w:ascii="Times New Roman" w:eastAsia="宋体" w:hAnsi="Times New Roman"/>
          <w:lang w:eastAsia="zh-CN"/>
        </w:rPr>
        <w:t>the following agreement was made on COT duration indication:</w:t>
      </w:r>
    </w:p>
    <w:p w14:paraId="30458F47" w14:textId="3A0CF489" w:rsidR="00AA20FD" w:rsidRDefault="002A45B5" w:rsidP="00B43D31">
      <w:pPr>
        <w:pStyle w:val="a0"/>
        <w:rPr>
          <w:rFonts w:ascii="Times New Roman" w:eastAsia="宋体" w:hAnsi="Times New Roman"/>
          <w:lang w:eastAsia="zh-CN"/>
        </w:rPr>
      </w:pPr>
      <w:r>
        <w:rPr>
          <w:rFonts w:ascii="Times New Roman" w:eastAsia="宋体" w:hAnsi="Times New Roman"/>
          <w:lang w:eastAsia="zh-CN"/>
        </w:rPr>
        <w:t>Clearly, COT</w:t>
      </w:r>
      <w:r w:rsidR="00AA20FD">
        <w:rPr>
          <w:rFonts w:ascii="Times New Roman" w:eastAsia="宋体" w:hAnsi="Times New Roman"/>
          <w:lang w:eastAsia="zh-CN"/>
        </w:rPr>
        <w:t xml:space="preserve"> duration </w:t>
      </w:r>
      <w:r>
        <w:rPr>
          <w:rFonts w:ascii="Times New Roman" w:eastAsia="宋体" w:hAnsi="Times New Roman"/>
          <w:lang w:eastAsia="zh-CN"/>
        </w:rPr>
        <w:t>is</w:t>
      </w:r>
      <w:r w:rsidR="00AA20FD">
        <w:rPr>
          <w:rFonts w:ascii="Times New Roman" w:eastAsia="宋体" w:hAnsi="Times New Roman"/>
          <w:lang w:eastAsia="zh-CN"/>
        </w:rPr>
        <w:t xml:space="preserve"> in </w:t>
      </w:r>
      <w:r>
        <w:rPr>
          <w:rFonts w:ascii="Times New Roman" w:eastAsia="宋体" w:hAnsi="Times New Roman"/>
          <w:lang w:eastAsia="zh-CN"/>
        </w:rPr>
        <w:t>symbol level</w:t>
      </w:r>
      <w:r w:rsidR="00AA20FD">
        <w:rPr>
          <w:rFonts w:ascii="Times New Roman" w:eastAsia="宋体" w:hAnsi="Times New Roman"/>
          <w:lang w:eastAsia="zh-CN"/>
        </w:rPr>
        <w:t xml:space="preserve"> granularity</w:t>
      </w:r>
      <w:r>
        <w:rPr>
          <w:rFonts w:ascii="Times New Roman" w:eastAsia="宋体" w:hAnsi="Times New Roman"/>
          <w:lang w:eastAsia="zh-CN"/>
        </w:rPr>
        <w:t xml:space="preserve"> so that the start of this COT indication should be also a certain symbol. However, current spec in section 11.1.1 of TS 38.213 says “</w:t>
      </w:r>
      <w:r w:rsidRPr="002A45B5">
        <w:rPr>
          <w:rFonts w:ascii="Times New Roman" w:eastAsia="宋体" w:hAnsi="Times New Roman"/>
          <w:i/>
          <w:lang w:eastAsia="zh-CN"/>
        </w:rPr>
        <w:t xml:space="preserve">CO-DurationPerCell-r16 indicates a remaining channel occupancy duration for the serving cell starting from </w:t>
      </w:r>
      <w:r w:rsidRPr="002A45B5">
        <w:rPr>
          <w:rFonts w:ascii="Times New Roman" w:eastAsia="宋体" w:hAnsi="Times New Roman"/>
          <w:i/>
          <w:highlight w:val="yellow"/>
          <w:lang w:eastAsia="zh-CN"/>
        </w:rPr>
        <w:t>a slot where the UE detects the DCI format 2_0</w:t>
      </w:r>
      <w:r w:rsidRPr="002A45B5">
        <w:rPr>
          <w:rFonts w:ascii="Times New Roman" w:eastAsia="宋体" w:hAnsi="Times New Roman"/>
          <w:i/>
          <w:lang w:eastAsia="zh-CN"/>
        </w:rPr>
        <w:t xml:space="preserve"> by providing a value from CO-DurationList-r16</w:t>
      </w:r>
      <w:r>
        <w:rPr>
          <w:rFonts w:ascii="Times New Roman" w:eastAsia="宋体" w:hAnsi="Times New Roman"/>
          <w:lang w:eastAsia="zh-CN"/>
        </w:rPr>
        <w:t>”, which doesn’t specify the concrete starting symbol. Then we propose to use the first symbol of PDCCH where the UE detects the DCI format 2_0 as the start of indicated COT duration. Using the first symbol here instead of the last symbol is to avoid the misunderstanding between gNB and UE when early decoding of PDCCH happens. For example, gNB transmits one PDCCH carrying COT information with AL16 in 2-symbol coreset but UE decode the PDCCH with AL8 in the first symbol. In this case</w:t>
      </w:r>
      <w:r w:rsidR="00F64E44">
        <w:rPr>
          <w:rFonts w:ascii="Times New Roman" w:eastAsia="宋体" w:hAnsi="Times New Roman"/>
          <w:lang w:eastAsia="zh-CN"/>
        </w:rPr>
        <w:t xml:space="preserve"> if using last symbol of the PDCCH</w:t>
      </w:r>
      <w:r>
        <w:rPr>
          <w:rFonts w:ascii="Times New Roman" w:eastAsia="宋体" w:hAnsi="Times New Roman"/>
          <w:lang w:eastAsia="zh-CN"/>
        </w:rPr>
        <w:t>, gNB uses the 2</w:t>
      </w:r>
      <w:r w:rsidRPr="002A45B5">
        <w:rPr>
          <w:rFonts w:ascii="Times New Roman" w:eastAsia="宋体" w:hAnsi="Times New Roman"/>
          <w:vertAlign w:val="superscript"/>
          <w:lang w:eastAsia="zh-CN"/>
        </w:rPr>
        <w:t>nd</w:t>
      </w:r>
      <w:r>
        <w:rPr>
          <w:rFonts w:ascii="Times New Roman" w:eastAsia="宋体" w:hAnsi="Times New Roman"/>
          <w:lang w:eastAsia="zh-CN"/>
        </w:rPr>
        <w:t xml:space="preserve"> symbol while UE assumes the 1</w:t>
      </w:r>
      <w:r w:rsidRPr="002A45B5">
        <w:rPr>
          <w:rFonts w:ascii="Times New Roman" w:eastAsia="宋体" w:hAnsi="Times New Roman"/>
          <w:vertAlign w:val="superscript"/>
          <w:lang w:eastAsia="zh-CN"/>
        </w:rPr>
        <w:t>st</w:t>
      </w:r>
      <w:r>
        <w:rPr>
          <w:rFonts w:ascii="Times New Roman" w:eastAsia="宋体" w:hAnsi="Times New Roman"/>
          <w:lang w:eastAsia="zh-CN"/>
        </w:rPr>
        <w:t xml:space="preserve"> symbol of PDCCH as starting symbol of COT indication.</w:t>
      </w:r>
      <w:r w:rsidR="00F64E44">
        <w:rPr>
          <w:rFonts w:ascii="Times New Roman" w:eastAsia="宋体" w:hAnsi="Times New Roman"/>
          <w:lang w:eastAsia="zh-CN"/>
        </w:rPr>
        <w:t xml:space="preserve"> Thus, using the first symbol of PDCCH could avoid such misunderstanding between gNB and UE.</w:t>
      </w:r>
    </w:p>
    <w:p w14:paraId="274B15FA" w14:textId="318968CA" w:rsidR="002A45B5" w:rsidRDefault="002A45B5" w:rsidP="002A45B5">
      <w:pPr>
        <w:spacing w:before="120" w:after="120"/>
        <w:rPr>
          <w:rFonts w:ascii="Times New Roman" w:hAnsi="Times New Roman"/>
          <w:b/>
        </w:rPr>
      </w:pPr>
      <w:bookmarkStart w:id="7" w:name="_Ref37168436"/>
      <w:r>
        <w:rPr>
          <w:rFonts w:ascii="Times New Roman" w:hAnsi="Times New Roman"/>
          <w:b/>
        </w:rPr>
        <w:t xml:space="preserve">Proposal </w:t>
      </w:r>
      <w:r>
        <w:fldChar w:fldCharType="begin"/>
      </w:r>
      <w:r>
        <w:rPr>
          <w:rFonts w:ascii="Times New Roman" w:hAnsi="Times New Roman"/>
          <w:b/>
        </w:rPr>
        <w:instrText xml:space="preserve"> SEQ Proposal \* ARABIC </w:instrText>
      </w:r>
      <w:r>
        <w:fldChar w:fldCharType="separate"/>
      </w:r>
      <w:r w:rsidR="00E66324">
        <w:rPr>
          <w:rFonts w:ascii="Times New Roman" w:hAnsi="Times New Roman"/>
          <w:b/>
          <w:noProof/>
        </w:rPr>
        <w:t>3</w:t>
      </w:r>
      <w:r>
        <w:fldChar w:fldCharType="end"/>
      </w:r>
      <w:r>
        <w:rPr>
          <w:rFonts w:ascii="Times New Roman" w:hAnsi="Times New Roman"/>
          <w:b/>
        </w:rPr>
        <w:t xml:space="preserve">: RAN1 adopt the </w:t>
      </w:r>
      <w:r w:rsidR="00E66324">
        <w:rPr>
          <w:rFonts w:ascii="Times New Roman" w:hAnsi="Times New Roman"/>
          <w:b/>
        </w:rPr>
        <w:t xml:space="preserve">following </w:t>
      </w:r>
      <w:r>
        <w:rPr>
          <w:rFonts w:ascii="Times New Roman" w:hAnsi="Times New Roman"/>
          <w:b/>
        </w:rPr>
        <w:t>TP2 on section 11.1 of TS 38.213.</w:t>
      </w:r>
      <w:bookmarkEnd w:id="7"/>
    </w:p>
    <w:p w14:paraId="0696DBA2" w14:textId="05CDCF00" w:rsidR="002A45B5" w:rsidRDefault="002A45B5" w:rsidP="002A45B5">
      <w:pPr>
        <w:spacing w:after="160" w:line="256" w:lineRule="auto"/>
      </w:pPr>
      <w:r>
        <w:t>------------------------------------------- Start TP2 for Section 11.1 of TS 38.213 --------------------------------------</w:t>
      </w:r>
    </w:p>
    <w:p w14:paraId="2E21ADC5" w14:textId="5D66473D" w:rsidR="00E66324" w:rsidRDefault="003E09B4" w:rsidP="00E66324">
      <w:pPr>
        <w:pStyle w:val="a0"/>
        <w:numPr>
          <w:ilvl w:val="0"/>
          <w:numId w:val="13"/>
        </w:numPr>
        <w:spacing w:before="120"/>
        <w:rPr>
          <w:rFonts w:eastAsia="宋体"/>
          <w:lang w:eastAsia="zh-CN"/>
        </w:rPr>
      </w:pPr>
      <w:r w:rsidRPr="00E66324">
        <w:rPr>
          <w:rFonts w:ascii="Times New Roman" w:eastAsia="宋体" w:hAnsi="Times New Roman"/>
          <w:lang w:eastAsia="zh-CN"/>
        </w:rPr>
        <w:t xml:space="preserve">a location of a channel occupancy duration field in DCI format 2_0, by CO-DurationPerCell-r16, that indicates a remaining channel occupancy duration for the serving cell starting from </w:t>
      </w:r>
      <w:r w:rsidRPr="00E66324">
        <w:rPr>
          <w:rFonts w:ascii="Times New Roman" w:eastAsia="宋体" w:hAnsi="Times New Roman"/>
          <w:strike/>
          <w:color w:val="FF0000"/>
          <w:lang w:eastAsia="zh-CN"/>
        </w:rPr>
        <w:t>a slot</w:t>
      </w:r>
      <w:r w:rsidRPr="00E66324">
        <w:rPr>
          <w:rFonts w:ascii="Times New Roman" w:eastAsia="宋体" w:hAnsi="Times New Roman"/>
          <w:lang w:eastAsia="zh-CN"/>
        </w:rPr>
        <w:t xml:space="preserve"> </w:t>
      </w:r>
      <w:r w:rsidR="00E66324" w:rsidRPr="00E66324">
        <w:rPr>
          <w:rFonts w:ascii="Times New Roman" w:eastAsia="宋体" w:hAnsi="Times New Roman"/>
          <w:color w:val="FF0000"/>
          <w:u w:val="single"/>
          <w:lang w:eastAsia="zh-CN"/>
        </w:rPr>
        <w:t>the first symbol of PDCCH</w:t>
      </w:r>
      <w:r w:rsidR="00E66324">
        <w:rPr>
          <w:rFonts w:ascii="Times New Roman" w:eastAsia="宋体" w:hAnsi="Times New Roman"/>
          <w:lang w:eastAsia="zh-CN"/>
        </w:rPr>
        <w:t xml:space="preserve"> </w:t>
      </w:r>
      <w:r w:rsidRPr="00E66324">
        <w:rPr>
          <w:rFonts w:ascii="Times New Roman" w:eastAsia="宋体" w:hAnsi="Times New Roman"/>
          <w:lang w:eastAsia="zh-CN"/>
        </w:rPr>
        <w:t xml:space="preserve">where the UE detects the DCI format 2_0 by providing a value from CO-DurationList-r16. The channel occupancy duration field includes </w:t>
      </w:r>
      <m:oMath>
        <m:r>
          <m:rPr>
            <m:sty m:val="p"/>
          </m:rPr>
          <w:rPr>
            <w:rFonts w:ascii="Cambria Math" w:eastAsia="宋体" w:hAnsi="Cambria Math"/>
            <w:lang w:eastAsia="zh-CN"/>
          </w:rPr>
          <m:t>max</m:t>
        </m:r>
        <m:d>
          <m:dPr>
            <m:begChr m:val="{"/>
            <m:endChr m:val="}"/>
            <m:ctrlPr>
              <w:rPr>
                <w:rFonts w:ascii="Cambria Math" w:eastAsia="宋体" w:hAnsi="Cambria Math"/>
                <w:lang w:eastAsia="zh-CN"/>
              </w:rPr>
            </m:ctrlPr>
          </m:dPr>
          <m:e>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d>
                      <m:dPr>
                        <m:ctrlPr>
                          <w:rPr>
                            <w:rFonts w:ascii="Cambria Math" w:eastAsia="宋体" w:hAnsi="Cambria Math"/>
                            <w:lang w:eastAsia="zh-CN"/>
                          </w:rPr>
                        </m:ctrlPr>
                      </m:dPr>
                      <m:e>
                        <m:r>
                          <m:rPr>
                            <m:sty m:val="p"/>
                          </m:rPr>
                          <w:rPr>
                            <w:rFonts w:ascii="Cambria Math" w:eastAsia="宋体" w:hAnsi="Cambria Math"/>
                            <w:lang w:eastAsia="zh-CN"/>
                          </w:rPr>
                          <m:t>COdurationListSize</m:t>
                        </m:r>
                      </m:e>
                    </m:d>
                  </m:e>
                </m:func>
              </m:e>
            </m:d>
            <m:r>
              <m:rPr>
                <m:sty m:val="p"/>
              </m:rPr>
              <w:rPr>
                <w:rFonts w:ascii="Cambria Math" w:eastAsia="宋体" w:hAnsi="Cambria Math"/>
                <w:lang w:eastAsia="zh-CN"/>
              </w:rPr>
              <m:t>,1</m:t>
            </m:r>
          </m:e>
        </m:d>
      </m:oMath>
      <w:r w:rsidRPr="00E66324">
        <w:rPr>
          <w:rFonts w:ascii="Times New Roman" w:eastAsia="宋体" w:hAnsi="Times New Roman"/>
          <w:lang w:eastAsia="zh-CN"/>
        </w:rPr>
        <w:t xml:space="preserve"> bits, where </w:t>
      </w:r>
      <m:oMath>
        <m:r>
          <m:rPr>
            <m:sty m:val="p"/>
          </m:rPr>
          <w:rPr>
            <w:rFonts w:ascii="Cambria Math" w:eastAsia="宋体" w:hAnsi="Cambria Math"/>
            <w:lang w:eastAsia="zh-CN"/>
          </w:rPr>
          <m:t>COdurationListSize</m:t>
        </m:r>
      </m:oMath>
      <w:r w:rsidRPr="00E66324">
        <w:rPr>
          <w:rFonts w:ascii="Times New Roman" w:eastAsia="宋体" w:hAnsi="Times New Roman"/>
          <w:lang w:eastAsia="zh-CN"/>
        </w:rPr>
        <w:t xml:space="preserve"> is the number of values provided by CO-DurationList-r16. If CO-DurationPerCell-r16 is not provided, the remaining channel occupancy duration for the serving cell is a number of slots, starting from a slot where the UE detects the DCI format 2_0, that the SFI-index field value provides corresponding slot formats</w:t>
      </w:r>
      <w:r w:rsidR="00E66324">
        <w:rPr>
          <w:rFonts w:ascii="Times New Roman" w:eastAsia="宋体" w:hAnsi="Times New Roman"/>
          <w:lang w:eastAsia="zh-CN"/>
        </w:rPr>
        <w:t>.</w:t>
      </w:r>
    </w:p>
    <w:p w14:paraId="3BEDA7CC" w14:textId="3461FC88" w:rsidR="002A45B5" w:rsidRPr="00AA20FD" w:rsidRDefault="002A45B5" w:rsidP="002A45B5">
      <w:pPr>
        <w:pStyle w:val="a0"/>
        <w:rPr>
          <w:rFonts w:ascii="Times New Roman" w:eastAsia="宋体" w:hAnsi="Times New Roman"/>
          <w:lang w:eastAsia="zh-CN"/>
        </w:rPr>
      </w:pPr>
      <w:r>
        <w:t>--------------------------------------------- End TP2 for Section 11.1 of TS 38.213 --------------------------------------</w:t>
      </w:r>
    </w:p>
    <w:p w14:paraId="1A37131D" w14:textId="17A77837" w:rsidR="00A438C5" w:rsidRDefault="00BF0708" w:rsidP="00A438C5">
      <w:pPr>
        <w:pStyle w:val="20"/>
        <w:rPr>
          <w:rFonts w:eastAsia="宋体"/>
          <w:b w:val="0"/>
          <w:sz w:val="30"/>
          <w:szCs w:val="30"/>
        </w:rPr>
      </w:pPr>
      <w:r>
        <w:rPr>
          <w:rFonts w:eastAsia="宋体"/>
          <w:b w:val="0"/>
          <w:sz w:val="30"/>
          <w:szCs w:val="30"/>
        </w:rPr>
        <w:t>Periodic</w:t>
      </w:r>
      <w:r w:rsidR="001150F0">
        <w:rPr>
          <w:rFonts w:eastAsia="宋体"/>
          <w:b w:val="0"/>
          <w:sz w:val="30"/>
          <w:szCs w:val="30"/>
        </w:rPr>
        <w:t xml:space="preserve">/Semi-persistent </w:t>
      </w:r>
      <w:r w:rsidR="00A438C5">
        <w:rPr>
          <w:rFonts w:eastAsia="宋体"/>
          <w:b w:val="0"/>
          <w:sz w:val="30"/>
          <w:szCs w:val="30"/>
        </w:rPr>
        <w:t>CSI-RS validation</w:t>
      </w:r>
    </w:p>
    <w:p w14:paraId="0E7D566A" w14:textId="77777777" w:rsidR="00BB3E75" w:rsidRDefault="00BB3E75" w:rsidP="00BB3E75">
      <w:pPr>
        <w:pStyle w:val="B2"/>
        <w:ind w:left="0" w:firstLine="0"/>
        <w:jc w:val="both"/>
        <w:rPr>
          <w:rFonts w:eastAsia="宋体"/>
          <w:iCs/>
          <w:lang w:val="en-US" w:eastAsia="zh-CN"/>
        </w:rPr>
      </w:pPr>
      <w:r w:rsidRPr="00A901D5">
        <w:rPr>
          <w:rFonts w:eastAsia="宋体" w:hint="eastAsia"/>
          <w:lang w:eastAsia="zh-CN"/>
        </w:rPr>
        <w:t>I</w:t>
      </w:r>
      <w:r w:rsidRPr="00A901D5">
        <w:rPr>
          <w:rFonts w:eastAsia="宋体"/>
          <w:lang w:eastAsia="zh-CN"/>
        </w:rPr>
        <w:t xml:space="preserve">n </w:t>
      </w:r>
      <w:r>
        <w:rPr>
          <w:rFonts w:eastAsia="宋体"/>
          <w:lang w:eastAsia="zh-CN"/>
        </w:rPr>
        <w:t xml:space="preserve">NR Rel15, UE could be configured with periodic/semi-persistent CSI-RS associated with CSI reporting. For each CSI reporting, one CSI reference slot will be defined, i.e. </w:t>
      </w:r>
      <w:r w:rsidRPr="000D3499">
        <w:rPr>
          <w:rFonts w:eastAsia="宋体"/>
          <w:i/>
          <w:iCs/>
          <w:lang w:val="en-US" w:eastAsia="zh-CN"/>
        </w:rPr>
        <w:t>n</w:t>
      </w:r>
      <w:r w:rsidRPr="000D3499">
        <w:rPr>
          <w:rFonts w:eastAsia="宋体"/>
          <w:i/>
          <w:iCs/>
          <w:vertAlign w:val="subscript"/>
          <w:lang w:val="en-US" w:eastAsia="zh-CN"/>
        </w:rPr>
        <w:t>CSI_ref</w:t>
      </w:r>
      <w:r>
        <w:rPr>
          <w:rFonts w:eastAsia="宋体"/>
          <w:iCs/>
          <w:lang w:val="en-US" w:eastAsia="zh-CN"/>
        </w:rPr>
        <w:t xml:space="preserve">  slots before the CSI reporting slot. </w:t>
      </w:r>
      <w:r w:rsidRPr="000D3499">
        <w:rPr>
          <w:rFonts w:eastAsia="宋体"/>
          <w:i/>
          <w:iCs/>
          <w:lang w:val="en-US" w:eastAsia="zh-CN"/>
        </w:rPr>
        <w:t>n</w:t>
      </w:r>
      <w:r w:rsidRPr="000D3499">
        <w:rPr>
          <w:rFonts w:eastAsia="宋体"/>
          <w:i/>
          <w:iCs/>
          <w:vertAlign w:val="subscript"/>
          <w:lang w:val="en-US" w:eastAsia="zh-CN"/>
        </w:rPr>
        <w:t>CSI_ref</w:t>
      </w:r>
      <w:r>
        <w:rPr>
          <w:rFonts w:eastAsia="宋体"/>
          <w:iCs/>
          <w:lang w:val="en-US" w:eastAsia="zh-CN"/>
        </w:rPr>
        <w:t xml:space="preserve"> depends on SCS setting and number of configured CSI-RS resource. For example, assuming SCS is 15KHz for both DL and UL, and only one CSI-RS resource is configured, </w:t>
      </w:r>
      <w:r w:rsidRPr="000D3499">
        <w:rPr>
          <w:rFonts w:eastAsia="宋体"/>
          <w:i/>
          <w:iCs/>
          <w:lang w:val="en-US" w:eastAsia="zh-CN"/>
        </w:rPr>
        <w:t>n</w:t>
      </w:r>
      <w:r w:rsidRPr="000D3499">
        <w:rPr>
          <w:rFonts w:eastAsia="宋体"/>
          <w:i/>
          <w:iCs/>
          <w:vertAlign w:val="subscript"/>
          <w:lang w:val="en-US" w:eastAsia="zh-CN"/>
        </w:rPr>
        <w:t>CSI_ref</w:t>
      </w:r>
      <w:r w:rsidRPr="00FA12EB">
        <w:rPr>
          <w:rFonts w:eastAsia="宋体"/>
          <w:lang w:val="en-US" w:eastAsia="zh-CN"/>
        </w:rPr>
        <w:t xml:space="preserve"> is smallest value greater than or equal to 4 such that it is a valid DL slot</w:t>
      </w:r>
      <w:r>
        <w:rPr>
          <w:rFonts w:eastAsia="宋体"/>
          <w:lang w:val="en-US" w:eastAsia="zh-CN"/>
        </w:rPr>
        <w:t>.</w:t>
      </w:r>
      <w:r>
        <w:rPr>
          <w:rFonts w:eastAsia="宋体" w:hint="eastAsia"/>
          <w:iCs/>
          <w:lang w:val="en-US" w:eastAsia="zh-CN"/>
        </w:rPr>
        <w:t xml:space="preserve"> </w:t>
      </w:r>
    </w:p>
    <w:p w14:paraId="7968D807" w14:textId="62627A29" w:rsidR="00BB3E75" w:rsidRDefault="00BB3E75" w:rsidP="00BB3E75">
      <w:pPr>
        <w:pStyle w:val="B2"/>
        <w:ind w:left="0" w:firstLine="0"/>
        <w:jc w:val="both"/>
        <w:rPr>
          <w:rFonts w:eastAsia="宋体"/>
          <w:iCs/>
          <w:lang w:val="en-US" w:eastAsia="zh-CN"/>
        </w:rPr>
      </w:pPr>
      <w:r>
        <w:rPr>
          <w:rFonts w:eastAsia="宋体"/>
          <w:iCs/>
          <w:lang w:val="en-US" w:eastAsia="zh-CN"/>
        </w:rPr>
        <w:t xml:space="preserve">As shown in </w:t>
      </w:r>
      <w:r>
        <w:rPr>
          <w:rFonts w:eastAsia="宋体"/>
          <w:iCs/>
          <w:lang w:val="en-US" w:eastAsia="zh-CN"/>
        </w:rPr>
        <w:fldChar w:fldCharType="begin"/>
      </w:r>
      <w:r>
        <w:rPr>
          <w:rFonts w:eastAsia="宋体"/>
          <w:iCs/>
          <w:lang w:val="en-US" w:eastAsia="zh-CN"/>
        </w:rPr>
        <w:instrText xml:space="preserve"> REF _Ref16615050 \h </w:instrText>
      </w:r>
      <w:r>
        <w:rPr>
          <w:rFonts w:eastAsia="宋体"/>
          <w:iCs/>
          <w:lang w:val="en-US" w:eastAsia="zh-CN"/>
        </w:rPr>
      </w:r>
      <w:r>
        <w:rPr>
          <w:rFonts w:eastAsia="宋体"/>
          <w:iCs/>
          <w:lang w:val="en-US" w:eastAsia="zh-CN"/>
        </w:rPr>
        <w:fldChar w:fldCharType="separate"/>
      </w:r>
      <w:r w:rsidR="00E66324" w:rsidRPr="00D0267B">
        <w:rPr>
          <w:rFonts w:eastAsia="宋体"/>
          <w:b/>
          <w:szCs w:val="16"/>
          <w:lang w:eastAsia="zh-CN"/>
        </w:rPr>
        <w:t xml:space="preserve">Figure </w:t>
      </w:r>
      <w:r w:rsidR="00E66324">
        <w:rPr>
          <w:rFonts w:eastAsia="宋体"/>
          <w:b/>
          <w:noProof/>
          <w:szCs w:val="16"/>
          <w:lang w:eastAsia="zh-CN"/>
        </w:rPr>
        <w:t>1</w:t>
      </w:r>
      <w:r>
        <w:rPr>
          <w:rFonts w:eastAsia="宋体"/>
          <w:iCs/>
          <w:lang w:val="en-US" w:eastAsia="zh-CN"/>
        </w:rPr>
        <w:fldChar w:fldCharType="end"/>
      </w:r>
      <w:r>
        <w:rPr>
          <w:rFonts w:eastAsia="宋体"/>
          <w:iCs/>
          <w:lang w:val="en-US" w:eastAsia="zh-CN"/>
        </w:rPr>
        <w:t>(a), i</w:t>
      </w:r>
      <w:r w:rsidRPr="00FA12EB">
        <w:rPr>
          <w:rFonts w:eastAsia="宋体"/>
          <w:iCs/>
          <w:lang w:val="en-US" w:eastAsia="zh-CN"/>
        </w:rPr>
        <w:t xml:space="preserve">f a UE is not configured with </w:t>
      </w:r>
      <w:r w:rsidRPr="00FA12EB">
        <w:rPr>
          <w:rFonts w:eastAsia="宋体"/>
          <w:i/>
          <w:iCs/>
          <w:lang w:val="en-US" w:eastAsia="zh-CN"/>
        </w:rPr>
        <w:t>time Restriction for Channel Measurements</w:t>
      </w:r>
      <w:r w:rsidRPr="00FA12EB">
        <w:rPr>
          <w:rFonts w:eastAsia="宋体"/>
          <w:iCs/>
          <w:lang w:val="en-US" w:eastAsia="zh-CN"/>
        </w:rPr>
        <w:t>, the UE shall derive the channel measurements for computing CSI value reported in uplink slot n based on only the NZP CSI-RS, no later than the CSI reference resource associated with the CSI resource setting.</w:t>
      </w:r>
    </w:p>
    <w:p w14:paraId="4634753C" w14:textId="0B6BD51D" w:rsidR="00BB3E75" w:rsidRPr="00FA12EB" w:rsidRDefault="00BB3E75" w:rsidP="00BB3E75">
      <w:pPr>
        <w:pStyle w:val="B2"/>
        <w:ind w:left="0" w:firstLine="0"/>
        <w:jc w:val="both"/>
        <w:rPr>
          <w:rFonts w:eastAsia="宋体"/>
          <w:iCs/>
          <w:lang w:val="en-US" w:eastAsia="zh-CN"/>
        </w:rPr>
      </w:pPr>
      <w:r>
        <w:rPr>
          <w:rFonts w:eastAsia="宋体"/>
          <w:iCs/>
          <w:lang w:val="en-US" w:eastAsia="zh-CN"/>
        </w:rPr>
        <w:t xml:space="preserve">As shown in </w:t>
      </w:r>
      <w:r>
        <w:rPr>
          <w:rFonts w:eastAsia="宋体"/>
          <w:iCs/>
          <w:lang w:val="en-US" w:eastAsia="zh-CN"/>
        </w:rPr>
        <w:fldChar w:fldCharType="begin"/>
      </w:r>
      <w:r>
        <w:rPr>
          <w:rFonts w:eastAsia="宋体"/>
          <w:iCs/>
          <w:lang w:val="en-US" w:eastAsia="zh-CN"/>
        </w:rPr>
        <w:instrText xml:space="preserve"> REF _Ref16615050 \h </w:instrText>
      </w:r>
      <w:r>
        <w:rPr>
          <w:rFonts w:eastAsia="宋体"/>
          <w:iCs/>
          <w:lang w:val="en-US" w:eastAsia="zh-CN"/>
        </w:rPr>
      </w:r>
      <w:r>
        <w:rPr>
          <w:rFonts w:eastAsia="宋体"/>
          <w:iCs/>
          <w:lang w:val="en-US" w:eastAsia="zh-CN"/>
        </w:rPr>
        <w:fldChar w:fldCharType="separate"/>
      </w:r>
      <w:r w:rsidR="00E66324" w:rsidRPr="00D0267B">
        <w:rPr>
          <w:rFonts w:eastAsia="宋体"/>
          <w:b/>
          <w:szCs w:val="16"/>
          <w:lang w:eastAsia="zh-CN"/>
        </w:rPr>
        <w:t xml:space="preserve">Figure </w:t>
      </w:r>
      <w:r w:rsidR="00E66324">
        <w:rPr>
          <w:rFonts w:eastAsia="宋体"/>
          <w:b/>
          <w:noProof/>
          <w:szCs w:val="16"/>
          <w:lang w:eastAsia="zh-CN"/>
        </w:rPr>
        <w:t>1</w:t>
      </w:r>
      <w:r>
        <w:rPr>
          <w:rFonts w:eastAsia="宋体"/>
          <w:iCs/>
          <w:lang w:val="en-US" w:eastAsia="zh-CN"/>
        </w:rPr>
        <w:fldChar w:fldCharType="end"/>
      </w:r>
      <w:r>
        <w:rPr>
          <w:rFonts w:eastAsia="宋体"/>
          <w:iCs/>
          <w:lang w:val="en-US" w:eastAsia="zh-CN"/>
        </w:rPr>
        <w:t>(b), i</w:t>
      </w:r>
      <w:r w:rsidRPr="00FA12EB">
        <w:rPr>
          <w:rFonts w:eastAsia="宋体"/>
          <w:iCs/>
          <w:lang w:val="en-US" w:eastAsia="zh-CN"/>
        </w:rPr>
        <w:t>f a UE is configured with</w:t>
      </w:r>
      <w:r w:rsidRPr="00FA12EB">
        <w:rPr>
          <w:rFonts w:eastAsia="宋体"/>
          <w:i/>
          <w:iCs/>
          <w:lang w:val="en-US" w:eastAsia="zh-CN"/>
        </w:rPr>
        <w:t xml:space="preserve"> time Restriction for Channel Measurements</w:t>
      </w:r>
      <w:r w:rsidRPr="00FA12EB">
        <w:rPr>
          <w:rFonts w:eastAsia="宋体"/>
          <w:iCs/>
          <w:lang w:val="en-US" w:eastAsia="zh-CN"/>
        </w:rPr>
        <w:t>, the UE shall derive the channel measurements for computing CSI reported in uplink slot n based on only the most recent, no later than the CSI reference resource, occasion of NZP CSI-RS associated with the CSI resource setting.</w:t>
      </w:r>
    </w:p>
    <w:p w14:paraId="65825FD4" w14:textId="77777777" w:rsidR="00BB3E75" w:rsidRDefault="00BB3E75" w:rsidP="00BB3E75">
      <w:pPr>
        <w:pStyle w:val="B2"/>
        <w:ind w:left="0" w:firstLine="0"/>
        <w:jc w:val="center"/>
        <w:rPr>
          <w:rFonts w:eastAsia="宋体"/>
          <w:lang w:eastAsia="zh-CN"/>
        </w:rPr>
      </w:pPr>
      <w:r>
        <w:rPr>
          <w:rFonts w:eastAsia="宋体"/>
          <w:noProof/>
          <w:lang w:val="en-US" w:eastAsia="zh-CN"/>
        </w:rPr>
        <w:lastRenderedPageBreak/>
        <w:drawing>
          <wp:inline distT="0" distB="0" distL="0" distR="0" wp14:anchorId="6FA1315B" wp14:editId="15EF6241">
            <wp:extent cx="5590308" cy="31838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0809" cy="3189871"/>
                    </a:xfrm>
                    <a:prstGeom prst="rect">
                      <a:avLst/>
                    </a:prstGeom>
                    <a:noFill/>
                  </pic:spPr>
                </pic:pic>
              </a:graphicData>
            </a:graphic>
          </wp:inline>
        </w:drawing>
      </w:r>
    </w:p>
    <w:p w14:paraId="7B1034E4" w14:textId="60A56ACF" w:rsidR="00A438C5" w:rsidRPr="00A438C5" w:rsidRDefault="00BB3E75" w:rsidP="00BB3E75">
      <w:pPr>
        <w:pStyle w:val="a0"/>
        <w:jc w:val="center"/>
        <w:rPr>
          <w:rFonts w:ascii="Times New Roman" w:eastAsia="宋体" w:hAnsi="Times New Roman"/>
          <w:lang w:eastAsia="zh-CN"/>
        </w:rPr>
      </w:pPr>
      <w:bookmarkStart w:id="8" w:name="_Ref16615050"/>
      <w:r w:rsidRPr="00D0267B">
        <w:rPr>
          <w:rFonts w:eastAsia="宋体"/>
          <w:b/>
          <w:szCs w:val="16"/>
          <w:lang w:eastAsia="zh-CN"/>
        </w:rPr>
        <w:t xml:space="preserve">Figure </w:t>
      </w:r>
      <w:r w:rsidRPr="00D0267B">
        <w:rPr>
          <w:rFonts w:eastAsia="宋体"/>
          <w:b/>
          <w:szCs w:val="16"/>
          <w:lang w:eastAsia="zh-CN"/>
        </w:rPr>
        <w:fldChar w:fldCharType="begin"/>
      </w:r>
      <w:r w:rsidRPr="00D0267B">
        <w:rPr>
          <w:rFonts w:eastAsia="宋体"/>
          <w:b/>
          <w:szCs w:val="16"/>
          <w:lang w:eastAsia="zh-CN"/>
        </w:rPr>
        <w:instrText xml:space="preserve"> SEQ Figure \* ARABIC </w:instrText>
      </w:r>
      <w:r w:rsidRPr="00D0267B">
        <w:rPr>
          <w:rFonts w:eastAsia="宋体"/>
          <w:b/>
          <w:szCs w:val="16"/>
          <w:lang w:eastAsia="zh-CN"/>
        </w:rPr>
        <w:fldChar w:fldCharType="separate"/>
      </w:r>
      <w:r w:rsidR="00E66324">
        <w:rPr>
          <w:rFonts w:eastAsia="宋体"/>
          <w:b/>
          <w:noProof/>
          <w:szCs w:val="16"/>
          <w:lang w:eastAsia="zh-CN"/>
        </w:rPr>
        <w:t>1</w:t>
      </w:r>
      <w:r w:rsidRPr="00D0267B">
        <w:rPr>
          <w:rFonts w:eastAsia="宋体"/>
          <w:b/>
          <w:szCs w:val="16"/>
          <w:lang w:eastAsia="zh-CN"/>
        </w:rPr>
        <w:fldChar w:fldCharType="end"/>
      </w:r>
      <w:bookmarkEnd w:id="8"/>
      <w:r w:rsidRPr="00D0267B">
        <w:rPr>
          <w:rFonts w:eastAsia="宋体"/>
          <w:b/>
          <w:szCs w:val="16"/>
          <w:lang w:eastAsia="zh-CN"/>
        </w:rPr>
        <w:t xml:space="preserve">   </w:t>
      </w:r>
      <w:r w:rsidRPr="00D0267B">
        <w:rPr>
          <w:rFonts w:eastAsia="宋体"/>
          <w:szCs w:val="16"/>
          <w:lang w:eastAsia="zh-CN"/>
        </w:rPr>
        <w:t>Periodic CSI-RS transmission and CSI reporting</w:t>
      </w:r>
    </w:p>
    <w:p w14:paraId="49F9750D" w14:textId="70892572" w:rsidR="00A438C5" w:rsidRDefault="00802507" w:rsidP="00BB3E75">
      <w:pPr>
        <w:pStyle w:val="B2"/>
        <w:ind w:left="0" w:firstLine="0"/>
        <w:jc w:val="both"/>
        <w:rPr>
          <w:rFonts w:eastAsia="宋体"/>
          <w:lang w:eastAsia="zh-CN"/>
        </w:rPr>
      </w:pPr>
      <w:r>
        <w:rPr>
          <w:rFonts w:eastAsia="宋体"/>
          <w:lang w:eastAsia="zh-CN"/>
        </w:rPr>
        <w:t>However,</w:t>
      </w:r>
      <w:r w:rsidR="00BB3E75">
        <w:rPr>
          <w:rFonts w:eastAsia="宋体"/>
          <w:lang w:eastAsia="zh-CN"/>
        </w:rPr>
        <w:t xml:space="preserve"> for NRU, configured periodic/semi-persistent CSI-RS may not be transmitted due to LBT failure, e.g. CSI-RS #2 is not transmitted due to LBT failure. </w:t>
      </w:r>
      <w:r w:rsidR="00893F32">
        <w:rPr>
          <w:rFonts w:eastAsia="宋体"/>
          <w:lang w:eastAsia="zh-CN"/>
        </w:rPr>
        <w:t xml:space="preserve">In this case, UE should skip measurement on this non-transmitted CSI-RS. </w:t>
      </w:r>
      <w:r w:rsidR="004D6E17">
        <w:rPr>
          <w:rFonts w:eastAsia="宋体"/>
          <w:lang w:eastAsia="zh-CN"/>
        </w:rPr>
        <w:t>To</w:t>
      </w:r>
      <w:r w:rsidR="001525A0">
        <w:rPr>
          <w:rFonts w:eastAsia="宋体"/>
          <w:lang w:eastAsia="zh-CN"/>
        </w:rPr>
        <w:t xml:space="preserve"> avoid the effort to determine whether the CSI-RS is transmitted or not by detection from UE side, validation rule should be defined</w:t>
      </w:r>
      <w:r w:rsidR="004D6E17">
        <w:rPr>
          <w:rFonts w:eastAsia="宋体"/>
          <w:lang w:eastAsia="zh-CN"/>
        </w:rPr>
        <w:t xml:space="preserve"> for periodic/semi-persistent CSI-RS presence</w:t>
      </w:r>
      <w:r w:rsidR="001525A0">
        <w:rPr>
          <w:rFonts w:eastAsia="宋体"/>
          <w:lang w:eastAsia="zh-CN"/>
        </w:rPr>
        <w:t xml:space="preserve">. </w:t>
      </w:r>
      <w:r w:rsidR="00DD04EC">
        <w:rPr>
          <w:rFonts w:eastAsia="宋体"/>
          <w:lang w:eastAsia="zh-CN"/>
        </w:rPr>
        <w:t xml:space="preserve">First, SFI </w:t>
      </w:r>
      <w:r w:rsidR="004D6E17">
        <w:rPr>
          <w:rFonts w:eastAsia="宋体"/>
          <w:lang w:eastAsia="zh-CN"/>
        </w:rPr>
        <w:t>in DCI 2_0</w:t>
      </w:r>
      <w:r w:rsidR="00DD04EC">
        <w:rPr>
          <w:rFonts w:eastAsia="宋体"/>
          <w:lang w:eastAsia="zh-CN"/>
        </w:rPr>
        <w:t xml:space="preserve"> </w:t>
      </w:r>
      <w:r w:rsidR="004D6E17">
        <w:rPr>
          <w:rFonts w:eastAsia="宋体"/>
          <w:lang w:eastAsia="zh-CN"/>
        </w:rPr>
        <w:t xml:space="preserve">could provide one candidate for such validation rule. In NR Rel-15, if SFI is configured but not detected </w:t>
      </w:r>
      <w:r w:rsidR="00DD57D1">
        <w:rPr>
          <w:rFonts w:eastAsia="宋体"/>
          <w:lang w:eastAsia="zh-CN"/>
        </w:rPr>
        <w:t xml:space="preserve">or indicated as not downlink </w:t>
      </w:r>
      <w:r w:rsidR="004D6E17">
        <w:rPr>
          <w:rFonts w:eastAsia="宋体"/>
          <w:lang w:eastAsia="zh-CN"/>
        </w:rPr>
        <w:t xml:space="preserve">for any symbol where </w:t>
      </w:r>
      <w:r w:rsidR="00DD57D1">
        <w:rPr>
          <w:rFonts w:eastAsia="宋体"/>
          <w:lang w:eastAsia="zh-CN"/>
        </w:rPr>
        <w:t xml:space="preserve">CSI-RS is configured by higher layer (i.e. periodic/semi-persistent), the CSI-RS transmission is cancelled. From UE side, it only assumes that periodic/semi-persistent CSI-RS indicated as DL by SFI is valid when SFI is configured. From gNB side, it will indicate the CSI-RS symbol as DL when </w:t>
      </w:r>
      <w:r w:rsidR="00667330">
        <w:rPr>
          <w:rFonts w:eastAsia="宋体"/>
          <w:lang w:eastAsia="zh-CN"/>
        </w:rPr>
        <w:t xml:space="preserve">guaranteeing that CSI-RS can be transmitted (i.e. within the COT). </w:t>
      </w:r>
      <w:r w:rsidR="00C80DBB">
        <w:rPr>
          <w:rFonts w:eastAsia="宋体"/>
          <w:lang w:eastAsia="zh-CN"/>
        </w:rPr>
        <w:t xml:space="preserve">Similarly, COT information could also be used for validation of CSI-RS. </w:t>
      </w:r>
      <w:r w:rsidR="00667330">
        <w:rPr>
          <w:rFonts w:eastAsia="宋体"/>
          <w:lang w:eastAsia="zh-CN"/>
        </w:rPr>
        <w:t xml:space="preserve">Second, </w:t>
      </w:r>
      <w:r w:rsidR="00923234">
        <w:rPr>
          <w:rFonts w:eastAsia="宋体"/>
          <w:lang w:eastAsia="zh-CN"/>
        </w:rPr>
        <w:t xml:space="preserve">scheduled </w:t>
      </w:r>
      <w:r w:rsidR="007D4CDE">
        <w:rPr>
          <w:rFonts w:eastAsia="宋体"/>
          <w:lang w:eastAsia="zh-CN"/>
        </w:rPr>
        <w:t xml:space="preserve">PDSCH transmission within the same slot </w:t>
      </w:r>
      <w:r w:rsidR="00923234">
        <w:rPr>
          <w:rFonts w:eastAsia="宋体"/>
          <w:lang w:eastAsia="zh-CN"/>
        </w:rPr>
        <w:t xml:space="preserve">can be another candidate for CSI-RS validation, i.e. UE will assume CSI-RS presence when </w:t>
      </w:r>
      <w:r w:rsidR="00A51AF4">
        <w:rPr>
          <w:rFonts w:eastAsia="宋体"/>
          <w:lang w:eastAsia="zh-CN"/>
        </w:rPr>
        <w:t xml:space="preserve">PDSCH is scheduled within the same slot. Third, as discussed in </w:t>
      </w:r>
      <w:r w:rsidR="00053B4D">
        <w:rPr>
          <w:rFonts w:eastAsia="宋体"/>
          <w:highlight w:val="yellow"/>
          <w:lang w:eastAsia="zh-CN"/>
        </w:rPr>
        <w:fldChar w:fldCharType="begin"/>
      </w:r>
      <w:r w:rsidR="00053B4D">
        <w:rPr>
          <w:rFonts w:eastAsia="宋体"/>
          <w:lang w:eastAsia="zh-CN"/>
        </w:rPr>
        <w:instrText xml:space="preserve"> REF _Ref37349153 \r \h </w:instrText>
      </w:r>
      <w:r w:rsidR="00053B4D">
        <w:rPr>
          <w:rFonts w:eastAsia="宋体"/>
          <w:highlight w:val="yellow"/>
          <w:lang w:eastAsia="zh-CN"/>
        </w:rPr>
      </w:r>
      <w:r w:rsidR="00053B4D">
        <w:rPr>
          <w:rFonts w:eastAsia="宋体"/>
          <w:highlight w:val="yellow"/>
          <w:lang w:eastAsia="zh-CN"/>
        </w:rPr>
        <w:fldChar w:fldCharType="separate"/>
      </w:r>
      <w:r w:rsidR="00053B4D">
        <w:rPr>
          <w:rFonts w:eastAsia="宋体"/>
          <w:lang w:eastAsia="zh-CN"/>
        </w:rPr>
        <w:t>[3]</w:t>
      </w:r>
      <w:r w:rsidR="00053B4D">
        <w:rPr>
          <w:rFonts w:eastAsia="宋体"/>
          <w:highlight w:val="yellow"/>
          <w:lang w:eastAsia="zh-CN"/>
        </w:rPr>
        <w:fldChar w:fldCharType="end"/>
      </w:r>
      <w:r w:rsidR="00A51AF4">
        <w:rPr>
          <w:rFonts w:eastAsia="宋体"/>
          <w:lang w:eastAsia="zh-CN"/>
        </w:rPr>
        <w:t xml:space="preserve">, </w:t>
      </w:r>
      <w:r w:rsidR="00A51AF4" w:rsidRPr="00A51AF4">
        <w:rPr>
          <w:rFonts w:eastAsia="宋体"/>
          <w:lang w:eastAsia="zh-CN"/>
        </w:rPr>
        <w:t xml:space="preserve">UE will assume the CSI-RS is transmitted when the </w:t>
      </w:r>
      <w:r w:rsidR="00E43AEC">
        <w:rPr>
          <w:rFonts w:eastAsia="宋体"/>
          <w:lang w:eastAsia="zh-CN"/>
        </w:rPr>
        <w:t xml:space="preserve">QCLed </w:t>
      </w:r>
      <w:r w:rsidR="00A51AF4" w:rsidRPr="00A51AF4">
        <w:rPr>
          <w:rFonts w:eastAsia="宋体"/>
          <w:lang w:eastAsia="zh-CN"/>
        </w:rPr>
        <w:t>SSB is detected</w:t>
      </w:r>
      <w:r w:rsidR="00E43AEC">
        <w:rPr>
          <w:rFonts w:eastAsia="宋体"/>
          <w:lang w:eastAsia="zh-CN"/>
        </w:rPr>
        <w:t xml:space="preserve"> within the same slot</w:t>
      </w:r>
      <w:r w:rsidR="00A51AF4" w:rsidRPr="00A51AF4">
        <w:rPr>
          <w:rFonts w:eastAsia="宋体"/>
          <w:lang w:eastAsia="zh-CN"/>
        </w:rPr>
        <w:t>.</w:t>
      </w:r>
    </w:p>
    <w:p w14:paraId="3A63818E" w14:textId="3DEB04AD" w:rsidR="00B43D31" w:rsidRDefault="00E43AEC" w:rsidP="00B43D31">
      <w:pPr>
        <w:spacing w:afterLines="50" w:after="120"/>
        <w:jc w:val="both"/>
        <w:rPr>
          <w:rFonts w:ascii="Times New Roman" w:hAnsi="Times New Roman"/>
          <w:b/>
        </w:rPr>
      </w:pPr>
      <w:bookmarkStart w:id="9" w:name="_Ref37100863"/>
      <w:bookmarkStart w:id="10" w:name="_Ref37168385"/>
      <w:r w:rsidRPr="00767C12">
        <w:rPr>
          <w:rFonts w:ascii="Times New Roman" w:hAnsi="Times New Roman"/>
          <w:b/>
        </w:rPr>
        <w:t xml:space="preserve">Proposal </w:t>
      </w:r>
      <w:r w:rsidRPr="00767C12">
        <w:rPr>
          <w:rFonts w:ascii="Times New Roman" w:hAnsi="Times New Roman"/>
          <w:b/>
        </w:rPr>
        <w:fldChar w:fldCharType="begin"/>
      </w:r>
      <w:r w:rsidRPr="00767C12">
        <w:rPr>
          <w:rFonts w:ascii="Times New Roman" w:hAnsi="Times New Roman"/>
          <w:b/>
        </w:rPr>
        <w:instrText xml:space="preserve"> SEQ Proposal \* ARABIC </w:instrText>
      </w:r>
      <w:r w:rsidRPr="00767C12">
        <w:rPr>
          <w:rFonts w:ascii="Times New Roman" w:hAnsi="Times New Roman"/>
          <w:b/>
        </w:rPr>
        <w:fldChar w:fldCharType="separate"/>
      </w:r>
      <w:r w:rsidR="00E66324">
        <w:rPr>
          <w:rFonts w:ascii="Times New Roman" w:hAnsi="Times New Roman"/>
          <w:b/>
          <w:noProof/>
        </w:rPr>
        <w:t>4</w:t>
      </w:r>
      <w:r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Besides SFI based UE behavior in NR Rel-15, </w:t>
      </w:r>
      <w:r w:rsidR="00C80DBB">
        <w:rPr>
          <w:rFonts w:ascii="Times New Roman" w:hAnsi="Times New Roman"/>
          <w:b/>
        </w:rPr>
        <w:t xml:space="preserve">UE will assume </w:t>
      </w:r>
      <w:r>
        <w:rPr>
          <w:rFonts w:ascii="Times New Roman" w:hAnsi="Times New Roman"/>
          <w:b/>
        </w:rPr>
        <w:t xml:space="preserve">periodic/semi-persistent CSI-RS </w:t>
      </w:r>
      <w:r w:rsidR="00C80DBB">
        <w:rPr>
          <w:rFonts w:ascii="Times New Roman" w:hAnsi="Times New Roman"/>
          <w:b/>
        </w:rPr>
        <w:t xml:space="preserve">is </w:t>
      </w:r>
      <w:r>
        <w:rPr>
          <w:rFonts w:ascii="Times New Roman" w:hAnsi="Times New Roman"/>
          <w:b/>
        </w:rPr>
        <w:t>presen</w:t>
      </w:r>
      <w:r w:rsidR="00C80DBB">
        <w:rPr>
          <w:rFonts w:ascii="Times New Roman" w:hAnsi="Times New Roman"/>
          <w:b/>
        </w:rPr>
        <w:t>t</w:t>
      </w:r>
      <w:bookmarkEnd w:id="9"/>
      <w:r w:rsidR="00C80DBB">
        <w:rPr>
          <w:rFonts w:ascii="Times New Roman" w:hAnsi="Times New Roman"/>
          <w:b/>
        </w:rPr>
        <w:t xml:space="preserve"> when one of the following conditions is met:</w:t>
      </w:r>
      <w:bookmarkEnd w:id="10"/>
    </w:p>
    <w:p w14:paraId="34EA88BE" w14:textId="10F6CB80" w:rsidR="00C80DBB" w:rsidRDefault="00C80DBB" w:rsidP="006F5475">
      <w:pPr>
        <w:pStyle w:val="ac"/>
        <w:numPr>
          <w:ilvl w:val="0"/>
          <w:numId w:val="14"/>
        </w:numPr>
        <w:ind w:firstLineChars="0"/>
        <w:rPr>
          <w:rFonts w:ascii="Times New Roman" w:hAnsi="Times New Roman"/>
          <w:b/>
        </w:rPr>
      </w:pPr>
      <w:r>
        <w:rPr>
          <w:rFonts w:ascii="Times New Roman" w:hAnsi="Times New Roman"/>
          <w:b/>
        </w:rPr>
        <w:t>Indicated within a COT by DCI 2_0;</w:t>
      </w:r>
    </w:p>
    <w:p w14:paraId="66E99CC7" w14:textId="3B226B6D" w:rsidR="00C80DBB" w:rsidRDefault="00C80DBB" w:rsidP="006F5475">
      <w:pPr>
        <w:pStyle w:val="ac"/>
        <w:numPr>
          <w:ilvl w:val="0"/>
          <w:numId w:val="14"/>
        </w:numPr>
        <w:ind w:firstLineChars="0"/>
        <w:rPr>
          <w:rFonts w:ascii="Times New Roman" w:hAnsi="Times New Roman"/>
          <w:b/>
        </w:rPr>
      </w:pPr>
      <w:r>
        <w:rPr>
          <w:rFonts w:ascii="Times New Roman" w:hAnsi="Times New Roman"/>
          <w:b/>
        </w:rPr>
        <w:t xml:space="preserve">PDSCH </w:t>
      </w:r>
      <w:r w:rsidR="006F5475">
        <w:rPr>
          <w:rFonts w:ascii="Times New Roman" w:hAnsi="Times New Roman"/>
          <w:b/>
        </w:rPr>
        <w:t>scheduled within the same slot;</w:t>
      </w:r>
    </w:p>
    <w:p w14:paraId="6777D5B5" w14:textId="6A69A39F" w:rsidR="00F74FE7" w:rsidRPr="00E47405" w:rsidRDefault="006F5475" w:rsidP="00E47405">
      <w:pPr>
        <w:pStyle w:val="ac"/>
        <w:numPr>
          <w:ilvl w:val="0"/>
          <w:numId w:val="14"/>
        </w:numPr>
        <w:spacing w:afterLines="50" w:after="120"/>
        <w:ind w:firstLineChars="0"/>
      </w:pPr>
      <w:r>
        <w:rPr>
          <w:rFonts w:ascii="Times New Roman" w:hAnsi="Times New Roman" w:hint="eastAsia"/>
          <w:b/>
        </w:rPr>
        <w:t>Q</w:t>
      </w:r>
      <w:r>
        <w:rPr>
          <w:rFonts w:ascii="Times New Roman" w:hAnsi="Times New Roman"/>
          <w:b/>
        </w:rPr>
        <w:t>CLed SSB detected within the same slot.</w:t>
      </w:r>
    </w:p>
    <w:bookmarkEnd w:id="1"/>
    <w:bookmarkEnd w:id="2"/>
    <w:bookmarkEnd w:id="3"/>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2AD59B4" w14:textId="74CC97A3"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w:t>
      </w:r>
      <w:r w:rsidR="004550BC">
        <w:rPr>
          <w:rFonts w:ascii="Times New Roman" w:eastAsia="宋体" w:hAnsi="Times New Roman"/>
          <w:lang w:eastAsia="zh-CN"/>
        </w:rPr>
        <w:t>physical DL channel design</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Pr>
          <w:rFonts w:ascii="Times New Roman" w:eastAsia="宋体" w:hAnsi="Times New Roman"/>
          <w:lang w:eastAsia="zh-CN"/>
        </w:rPr>
        <w:t>:</w:t>
      </w:r>
    </w:p>
    <w:p w14:paraId="12F757DA" w14:textId="12AC76A9" w:rsidR="004550BC" w:rsidRDefault="004550B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_Ref23948315 \h </w:instrText>
      </w:r>
      <w:r>
        <w:rPr>
          <w:rFonts w:ascii="Times New Roman" w:eastAsia="宋体" w:hAnsi="Times New Roman"/>
          <w:lang w:eastAsia="zh-CN"/>
        </w:rPr>
      </w:r>
      <w:r>
        <w:rPr>
          <w:rFonts w:ascii="Times New Roman" w:eastAsia="宋体" w:hAnsi="Times New Roman"/>
          <w:lang w:eastAsia="zh-CN"/>
        </w:rPr>
        <w:fldChar w:fldCharType="separate"/>
      </w:r>
      <w:r w:rsidR="00E66324" w:rsidRPr="00767C12">
        <w:rPr>
          <w:rFonts w:ascii="Times New Roman" w:hAnsi="Times New Roman"/>
          <w:b/>
        </w:rPr>
        <w:t xml:space="preserve">Proposal </w:t>
      </w:r>
      <w:r w:rsidR="00E66324">
        <w:rPr>
          <w:rFonts w:ascii="Times New Roman" w:hAnsi="Times New Roman"/>
          <w:b/>
          <w:noProof/>
        </w:rPr>
        <w:t>1</w:t>
      </w:r>
      <w:r w:rsidR="00E66324" w:rsidRPr="00660466">
        <w:rPr>
          <w:rFonts w:ascii="Times New Roman" w:hAnsi="Times New Roman" w:hint="eastAsia"/>
          <w:b/>
        </w:rPr>
        <w:t>:</w:t>
      </w:r>
      <w:r w:rsidR="00E66324">
        <w:rPr>
          <w:rFonts w:ascii="Times New Roman" w:hAnsi="Times New Roman"/>
          <w:b/>
        </w:rPr>
        <w:t xml:space="preserve"> One default SS group (i.e. search space sets with group index 0) should be specified for UE to perform PDCCH monitoring after RRC configuration on SS, switching to another BWP or cell, from DRX off to DRX on.</w:t>
      </w:r>
      <w:r>
        <w:rPr>
          <w:rFonts w:ascii="Times New Roman" w:eastAsia="宋体" w:hAnsi="Times New Roman"/>
          <w:lang w:eastAsia="zh-CN"/>
        </w:rPr>
        <w:fldChar w:fldCharType="end"/>
      </w:r>
    </w:p>
    <w:p w14:paraId="1DBFB082" w14:textId="038785E0" w:rsidR="00A438C5" w:rsidRDefault="00A438C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_Ref37083670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E66324">
        <w:rPr>
          <w:rFonts w:ascii="Times New Roman" w:hAnsi="Times New Roman"/>
          <w:b/>
        </w:rPr>
        <w:t xml:space="preserve">Proposal </w:t>
      </w:r>
      <w:r w:rsidR="00E66324">
        <w:rPr>
          <w:rFonts w:ascii="Times New Roman" w:hAnsi="Times New Roman"/>
          <w:b/>
          <w:noProof/>
        </w:rPr>
        <w:t>2</w:t>
      </w:r>
      <w:r w:rsidR="00E66324">
        <w:rPr>
          <w:rFonts w:ascii="Times New Roman" w:hAnsi="Times New Roman"/>
          <w:b/>
        </w:rPr>
        <w:t>: RAN1 adopt the following TP1 on section 10.4 of TS 38.213.</w:t>
      </w:r>
      <w:r>
        <w:rPr>
          <w:rFonts w:ascii="Times New Roman" w:eastAsia="宋体" w:hAnsi="Times New Roman"/>
          <w:lang w:eastAsia="zh-CN"/>
        </w:rPr>
        <w:fldChar w:fldCharType="end"/>
      </w:r>
    </w:p>
    <w:p w14:paraId="01278B11" w14:textId="638A8327" w:rsidR="006F5475" w:rsidRDefault="006F547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_Ref37168436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3</w:t>
      </w:r>
      <w:r>
        <w:rPr>
          <w:rFonts w:ascii="Times New Roman" w:hAnsi="Times New Roman"/>
          <w:b/>
        </w:rPr>
        <w:t>: RAN1 adopt the following TP2 on section 11.1 of TS 38.213.</w:t>
      </w:r>
      <w:r>
        <w:rPr>
          <w:rFonts w:ascii="Times New Roman" w:eastAsia="宋体" w:hAnsi="Times New Roman"/>
          <w:lang w:eastAsia="zh-CN"/>
        </w:rPr>
        <w:fldChar w:fldCharType="end"/>
      </w:r>
    </w:p>
    <w:p w14:paraId="587799D9" w14:textId="7FE7314C" w:rsidR="006F5475" w:rsidRDefault="006F547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_Ref37168385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767C12">
        <w:rPr>
          <w:rFonts w:ascii="Times New Roman" w:hAnsi="Times New Roman"/>
          <w:b/>
        </w:rPr>
        <w:t xml:space="preserve">Proposal </w:t>
      </w:r>
      <w:r>
        <w:rPr>
          <w:rFonts w:ascii="Times New Roman" w:hAnsi="Times New Roman"/>
          <w:b/>
          <w:noProof/>
        </w:rPr>
        <w:t>4</w:t>
      </w:r>
      <w:r w:rsidRPr="00660466">
        <w:rPr>
          <w:rFonts w:ascii="Times New Roman" w:hAnsi="Times New Roman" w:hint="eastAsia"/>
          <w:b/>
        </w:rPr>
        <w:t>:</w:t>
      </w:r>
      <w:r>
        <w:rPr>
          <w:rFonts w:ascii="Times New Roman" w:hAnsi="Times New Roman"/>
          <w:b/>
        </w:rPr>
        <w:t xml:space="preserve"> Besides SFI based UE behavior in NR Rel-15, UE will assume periodic/semi-persistent CSI-RS is present when one of the following conditions is met:</w:t>
      </w:r>
      <w:r>
        <w:rPr>
          <w:rFonts w:ascii="Times New Roman" w:eastAsia="宋体" w:hAnsi="Times New Roman"/>
          <w:lang w:eastAsia="zh-CN"/>
        </w:rPr>
        <w:fldChar w:fldCharType="end"/>
      </w:r>
    </w:p>
    <w:p w14:paraId="3E9CF42B" w14:textId="77777777" w:rsidR="006F5475" w:rsidRDefault="006F5475" w:rsidP="006F5475">
      <w:pPr>
        <w:pStyle w:val="ac"/>
        <w:numPr>
          <w:ilvl w:val="0"/>
          <w:numId w:val="14"/>
        </w:numPr>
        <w:ind w:firstLineChars="0"/>
        <w:rPr>
          <w:rFonts w:ascii="Times New Roman" w:hAnsi="Times New Roman"/>
          <w:b/>
        </w:rPr>
      </w:pPr>
      <w:r>
        <w:rPr>
          <w:rFonts w:ascii="Times New Roman" w:hAnsi="Times New Roman"/>
          <w:b/>
        </w:rPr>
        <w:t>Indicated within a COT by DCI 2_0;</w:t>
      </w:r>
    </w:p>
    <w:p w14:paraId="264FD89C" w14:textId="77777777" w:rsidR="006F5475" w:rsidRDefault="006F5475" w:rsidP="006F5475">
      <w:pPr>
        <w:pStyle w:val="ac"/>
        <w:numPr>
          <w:ilvl w:val="0"/>
          <w:numId w:val="14"/>
        </w:numPr>
        <w:ind w:firstLineChars="0"/>
        <w:rPr>
          <w:rFonts w:ascii="Times New Roman" w:hAnsi="Times New Roman"/>
          <w:b/>
        </w:rPr>
      </w:pPr>
      <w:r>
        <w:rPr>
          <w:rFonts w:ascii="Times New Roman" w:hAnsi="Times New Roman"/>
          <w:b/>
        </w:rPr>
        <w:t>PDSCH scheduled within the same slot;</w:t>
      </w:r>
    </w:p>
    <w:p w14:paraId="635B3F6C" w14:textId="61E96A50" w:rsidR="006F5475" w:rsidRPr="00E13537" w:rsidRDefault="006F5475" w:rsidP="00F31A4D">
      <w:pPr>
        <w:pStyle w:val="ac"/>
        <w:numPr>
          <w:ilvl w:val="0"/>
          <w:numId w:val="14"/>
        </w:numPr>
        <w:spacing w:afterLines="50" w:after="120"/>
        <w:ind w:firstLineChars="0"/>
        <w:rPr>
          <w:rFonts w:ascii="Times New Roman" w:hAnsi="Times New Roman"/>
          <w:b/>
        </w:rPr>
      </w:pPr>
      <w:r>
        <w:rPr>
          <w:rFonts w:ascii="Times New Roman" w:hAnsi="Times New Roman" w:hint="eastAsia"/>
          <w:b/>
        </w:rPr>
        <w:t>Q</w:t>
      </w:r>
      <w:r>
        <w:rPr>
          <w:rFonts w:ascii="Times New Roman" w:hAnsi="Times New Roman"/>
          <w:b/>
        </w:rPr>
        <w:t>CLed SSB detected within the same slot.</w:t>
      </w:r>
    </w:p>
    <w:p w14:paraId="69FCCE1F" w14:textId="2AB29A11"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20CD3626" w14:textId="7AE0A4A8" w:rsidR="00C560CA" w:rsidRDefault="00C560CA" w:rsidP="00816D68">
      <w:pPr>
        <w:pStyle w:val="a0"/>
        <w:numPr>
          <w:ilvl w:val="0"/>
          <w:numId w:val="11"/>
        </w:numPr>
        <w:rPr>
          <w:rFonts w:ascii="Times New Roman" w:eastAsia="宋体" w:hAnsi="Times New Roman"/>
          <w:lang w:eastAsia="zh-CN"/>
        </w:rPr>
      </w:pPr>
      <w:bookmarkStart w:id="11" w:name="_Ref32418643"/>
      <w:r>
        <w:rPr>
          <w:rFonts w:ascii="Times New Roman" w:eastAsia="宋体" w:hAnsi="Times New Roman"/>
          <w:lang w:eastAsia="zh-CN"/>
        </w:rPr>
        <w:t>RAN1 chairman notes, RAN1 #99, Reno, USA, November 18th – 22nd, 2019.</w:t>
      </w:r>
      <w:bookmarkEnd w:id="11"/>
    </w:p>
    <w:p w14:paraId="5C58B305" w14:textId="06E616C1" w:rsidR="00E13537" w:rsidRDefault="00E66324" w:rsidP="0047697D">
      <w:pPr>
        <w:pStyle w:val="a0"/>
        <w:numPr>
          <w:ilvl w:val="0"/>
          <w:numId w:val="11"/>
        </w:numPr>
        <w:rPr>
          <w:rFonts w:ascii="Times New Roman" w:eastAsia="宋体" w:hAnsi="Times New Roman"/>
          <w:lang w:eastAsia="zh-CN"/>
        </w:rPr>
      </w:pPr>
      <w:bookmarkStart w:id="12" w:name="_Ref37348822"/>
      <w:r>
        <w:rPr>
          <w:rFonts w:ascii="Times New Roman" w:eastAsia="宋体" w:hAnsi="Times New Roman" w:hint="eastAsia"/>
          <w:lang w:eastAsia="zh-CN"/>
        </w:rPr>
        <w:t>R</w:t>
      </w:r>
      <w:r>
        <w:rPr>
          <w:rFonts w:ascii="Times New Roman" w:eastAsia="宋体" w:hAnsi="Times New Roman"/>
          <w:lang w:eastAsia="zh-CN"/>
        </w:rPr>
        <w:t xml:space="preserve">AN 1 chairman notes, RAN1 #100-e, </w:t>
      </w:r>
      <w:r w:rsidRPr="00E66324">
        <w:rPr>
          <w:rFonts w:ascii="Times New Roman" w:eastAsia="宋体" w:hAnsi="Times New Roman"/>
          <w:lang w:eastAsia="zh-CN"/>
        </w:rPr>
        <w:t>February 24th – March 6th, 2020</w:t>
      </w:r>
      <w:r>
        <w:rPr>
          <w:rFonts w:ascii="Times New Roman" w:eastAsia="宋体" w:hAnsi="Times New Roman"/>
          <w:lang w:eastAsia="zh-CN"/>
        </w:rPr>
        <w:t>.</w:t>
      </w:r>
      <w:bookmarkEnd w:id="12"/>
    </w:p>
    <w:p w14:paraId="4403ABAD" w14:textId="42B8A26C" w:rsidR="00F64E44" w:rsidRPr="0047697D" w:rsidRDefault="005C78F6" w:rsidP="0047697D">
      <w:pPr>
        <w:pStyle w:val="a0"/>
        <w:numPr>
          <w:ilvl w:val="0"/>
          <w:numId w:val="11"/>
        </w:numPr>
        <w:rPr>
          <w:rFonts w:ascii="Times New Roman" w:eastAsia="宋体" w:hAnsi="Times New Roman"/>
          <w:lang w:eastAsia="zh-CN"/>
        </w:rPr>
      </w:pPr>
      <w:bookmarkStart w:id="13" w:name="_Ref37349153"/>
      <w:r w:rsidRPr="005C78F6">
        <w:rPr>
          <w:rFonts w:ascii="Times New Roman" w:eastAsia="宋体" w:hAnsi="Times New Roman"/>
          <w:lang w:eastAsia="zh-CN"/>
        </w:rPr>
        <w:t>R1-2001649</w:t>
      </w:r>
      <w:r w:rsidR="00053B4D">
        <w:rPr>
          <w:rFonts w:ascii="Times New Roman" w:eastAsia="宋体" w:hAnsi="Times New Roman"/>
          <w:lang w:eastAsia="zh-CN"/>
        </w:rPr>
        <w:t xml:space="preserve">, RAN1 #100bis-e, </w:t>
      </w:r>
      <w:r w:rsidR="00053B4D" w:rsidRPr="00053B4D">
        <w:rPr>
          <w:rFonts w:ascii="Times New Roman" w:eastAsia="宋体" w:hAnsi="Times New Roman"/>
          <w:lang w:eastAsia="zh-CN"/>
        </w:rPr>
        <w:t>April 20th – 30th, 2020</w:t>
      </w:r>
      <w:r w:rsidR="00053B4D">
        <w:rPr>
          <w:rFonts w:ascii="Times New Roman" w:eastAsia="宋体" w:hAnsi="Times New Roman"/>
          <w:lang w:eastAsia="zh-CN"/>
        </w:rPr>
        <w:t>.</w:t>
      </w:r>
      <w:bookmarkEnd w:id="13"/>
    </w:p>
    <w:sectPr w:rsidR="00F64E44" w:rsidRPr="0047697D">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F1AC53" w16cid:durableId="2239E3A8"/>
  <w16cid:commentId w16cid:paraId="1E0DEF5B" w16cid:durableId="2239E5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FA366" w14:textId="77777777" w:rsidR="00525B5D" w:rsidRDefault="00525B5D">
      <w:r>
        <w:separator/>
      </w:r>
    </w:p>
  </w:endnote>
  <w:endnote w:type="continuationSeparator" w:id="0">
    <w:p w14:paraId="730539C9" w14:textId="77777777" w:rsidR="00525B5D" w:rsidRDefault="0052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1268E" w14:textId="77777777" w:rsidR="00525B5D" w:rsidRDefault="00525B5D">
      <w:r>
        <w:separator/>
      </w:r>
    </w:p>
  </w:footnote>
  <w:footnote w:type="continuationSeparator" w:id="0">
    <w:p w14:paraId="5B698427" w14:textId="77777777" w:rsidR="00525B5D" w:rsidRDefault="00525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6"/>
  </w:num>
  <w:num w:numId="3">
    <w:abstractNumId w:val="8"/>
  </w:num>
  <w:num w:numId="4">
    <w:abstractNumId w:val="3"/>
  </w:num>
  <w:num w:numId="5">
    <w:abstractNumId w:val="4"/>
  </w:num>
  <w:num w:numId="6">
    <w:abstractNumId w:val="7"/>
  </w:num>
  <w:num w:numId="7">
    <w:abstractNumId w:val="1"/>
  </w:num>
  <w:num w:numId="8">
    <w:abstractNumId w:val="2"/>
  </w:num>
  <w:num w:numId="9">
    <w:abstractNumId w:val="12"/>
  </w:num>
  <w:num w:numId="10">
    <w:abstractNumId w:val="10"/>
  </w:num>
  <w:num w:numId="11">
    <w:abstractNumId w:val="9"/>
  </w:num>
  <w:num w:numId="12">
    <w:abstractNumId w:val="11"/>
  </w:num>
  <w:num w:numId="13">
    <w:abstractNumId w:val="5"/>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6901"/>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1BE0"/>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234"/>
    <w:rsid w:val="00923C17"/>
    <w:rsid w:val="00923CE0"/>
    <w:rsid w:val="00924102"/>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DBB"/>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28E"/>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1C589D9B-3986-4927-8694-E1EE0D209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E79A2-C2A1-41F9-921E-AFE269191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1278</Words>
  <Characters>7285</Characters>
  <Application>Microsoft Office Word</Application>
  <DocSecurity>0</DocSecurity>
  <Lines>60</Lines>
  <Paragraphs>17</Paragraphs>
  <ScaleCrop>false</ScaleCrop>
  <Company>Vivo</Company>
  <LinksUpToDate>false</LinksUpToDate>
  <CharactersWithSpaces>8546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2</cp:revision>
  <cp:lastPrinted>2011-08-03T09:36:00Z</cp:lastPrinted>
  <dcterms:created xsi:type="dcterms:W3CDTF">2020-04-10T13:09:00Z</dcterms:created>
  <dcterms:modified xsi:type="dcterms:W3CDTF">2020-04-10T13:09:00Z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